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jc w:val="left"/>
        <w:textAlignment w:val="auto"/>
        <w:rPr>
          <w:rFonts w:eastAsia="黑体"/>
          <w:bCs/>
          <w:szCs w:val="32"/>
        </w:rPr>
      </w:pPr>
      <w:r>
        <w:rPr>
          <w:rFonts w:eastAsia="黑体"/>
          <w:bCs/>
          <w:szCs w:val="32"/>
        </w:rPr>
        <w:t>附件</w:t>
      </w:r>
      <w:r>
        <w:rPr>
          <w:rFonts w:hint="eastAsia" w:eastAsia="黑体"/>
          <w:bCs/>
          <w:szCs w:val="32"/>
          <w:lang w:val="en-US" w:eastAsia="zh-CN"/>
        </w:rPr>
        <w:t>3</w:t>
      </w:r>
      <w:r>
        <w:rPr>
          <w:rFonts w:eastAsia="黑体"/>
          <w:bCs/>
          <w:szCs w:val="32"/>
        </w:rPr>
        <w:t xml:space="preserve"> </w:t>
      </w:r>
    </w:p>
    <w:p>
      <w:pPr>
        <w:pStyle w:val="8"/>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Cs w:val="44"/>
          <w:lang w:val="en-US" w:eastAsia="zh-CN"/>
        </w:rPr>
      </w:pPr>
    </w:p>
    <w:p>
      <w:pPr>
        <w:pStyle w:val="8"/>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Cs w:val="44"/>
        </w:rPr>
      </w:pPr>
      <w:r>
        <w:rPr>
          <w:rFonts w:hint="eastAsia" w:ascii="方正小标宋简体" w:hAnsi="方正小标宋简体" w:eastAsia="方正小标宋简体" w:cs="方正小标宋简体"/>
          <w:b w:val="0"/>
          <w:bCs/>
          <w:szCs w:val="44"/>
          <w:lang w:val="en-US" w:eastAsia="zh-CN"/>
        </w:rPr>
        <w:t>学院（部）本科教育教学材料自查指引</w:t>
      </w:r>
    </w:p>
    <w:p>
      <w:pPr>
        <w:keepNext w:val="0"/>
        <w:keepLines w:val="0"/>
        <w:pageBreakBefore w:val="0"/>
        <w:kinsoku/>
        <w:wordWrap/>
        <w:overflowPunct/>
        <w:topLinePunct w:val="0"/>
        <w:autoSpaceDE/>
        <w:autoSpaceDN/>
        <w:bidi w:val="0"/>
        <w:spacing w:line="560" w:lineRule="exact"/>
        <w:ind w:firstLine="2003" w:firstLineChars="950"/>
        <w:textAlignment w:val="auto"/>
        <w:rPr>
          <w:b/>
          <w:sz w:val="21"/>
        </w:rPr>
      </w:pPr>
    </w:p>
    <w:p>
      <w:pPr>
        <w:keepNext w:val="0"/>
        <w:keepLines w:val="0"/>
        <w:pageBreakBefore w:val="0"/>
        <w:kinsoku/>
        <w:wordWrap/>
        <w:overflowPunct/>
        <w:topLinePunct w:val="0"/>
        <w:autoSpaceDE/>
        <w:autoSpaceDN/>
        <w:bidi w:val="0"/>
        <w:spacing w:line="560" w:lineRule="exact"/>
        <w:ind w:firstLine="566" w:firstLineChars="177"/>
        <w:textAlignment w:val="auto"/>
        <w:rPr>
          <w:rFonts w:hint="eastAsia" w:ascii="仿宋_GB2312" w:hAnsi="Calibri" w:eastAsia="仿宋_GB2312"/>
          <w:szCs w:val="32"/>
          <w:lang w:eastAsia="zh-CN"/>
        </w:rPr>
      </w:pPr>
      <w:r>
        <w:rPr>
          <w:rFonts w:hint="eastAsia" w:ascii="仿宋_GB2312" w:hAnsi="Calibri"/>
          <w:szCs w:val="32"/>
        </w:rPr>
        <w:t>自评自建期间，各教学单位应对教育教学相关材料进行全面梳理、总结、归档</w:t>
      </w:r>
      <w:r>
        <w:rPr>
          <w:rFonts w:hint="eastAsia" w:ascii="仿宋_GB2312" w:hAnsi="Calibri"/>
          <w:szCs w:val="32"/>
          <w:lang w:eastAsia="zh-CN"/>
        </w:rPr>
        <w:t>。</w:t>
      </w:r>
    </w:p>
    <w:p>
      <w:pPr>
        <w:keepNext w:val="0"/>
        <w:keepLines w:val="0"/>
        <w:pageBreakBefore w:val="0"/>
        <w:numPr>
          <w:ilvl w:val="0"/>
          <w:numId w:val="1"/>
        </w:numPr>
        <w:kinsoku/>
        <w:wordWrap/>
        <w:overflowPunct/>
        <w:topLinePunct w:val="0"/>
        <w:autoSpaceDE/>
        <w:autoSpaceDN/>
        <w:bidi w:val="0"/>
        <w:spacing w:line="560" w:lineRule="exact"/>
        <w:ind w:firstLine="566" w:firstLineChars="177"/>
        <w:textAlignment w:val="auto"/>
        <w:rPr>
          <w:rFonts w:hint="eastAsia" w:ascii="黑体" w:hAnsi="黑体" w:eastAsia="黑体" w:cs="黑体"/>
          <w:szCs w:val="32"/>
          <w:lang w:eastAsia="zh-CN"/>
        </w:rPr>
      </w:pPr>
      <w:r>
        <w:rPr>
          <w:rFonts w:hint="eastAsia" w:ascii="黑体" w:hAnsi="黑体" w:eastAsia="黑体" w:cs="黑体"/>
          <w:szCs w:val="32"/>
          <w:lang w:eastAsia="zh-CN"/>
        </w:rPr>
        <w:t>自查范围</w:t>
      </w:r>
    </w:p>
    <w:p>
      <w:pPr>
        <w:keepNext w:val="0"/>
        <w:keepLines w:val="0"/>
        <w:pageBreakBefore w:val="0"/>
        <w:kinsoku/>
        <w:wordWrap/>
        <w:overflowPunct/>
        <w:topLinePunct w:val="0"/>
        <w:autoSpaceDE/>
        <w:autoSpaceDN/>
        <w:bidi w:val="0"/>
        <w:adjustRightInd w:val="0"/>
        <w:spacing w:line="560" w:lineRule="exact"/>
        <w:ind w:firstLine="616" w:firstLineChars="200"/>
        <w:textAlignment w:val="auto"/>
        <w:rPr>
          <w:rFonts w:hint="eastAsia" w:ascii="仿宋_GB2312" w:hAnsi="Calibri"/>
          <w:szCs w:val="32"/>
          <w:lang w:val="en-US" w:eastAsia="zh-CN"/>
        </w:rPr>
      </w:pPr>
      <w:r>
        <w:rPr>
          <w:rFonts w:hint="eastAsia" w:ascii="仿宋_GB2312" w:hAnsi="Calibri"/>
          <w:spacing w:val="-6"/>
          <w:szCs w:val="32"/>
          <w:lang w:val="en-US" w:eastAsia="zh-CN"/>
        </w:rPr>
        <w:t>2025年3月前，完成2021-2022、2022-2023、2023-2024学年</w:t>
      </w:r>
      <w:r>
        <w:rPr>
          <w:rFonts w:hint="eastAsia" w:ascii="仿宋_GB2312" w:hAnsi="Calibri"/>
          <w:szCs w:val="32"/>
          <w:lang w:val="en-US" w:eastAsia="zh-CN"/>
        </w:rPr>
        <w:t>的材料归档；2025年9月前，完成2024-2025学年相关材料归档。</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lang w:val="en-US" w:eastAsia="zh-CN"/>
        </w:rPr>
      </w:pPr>
      <w:r>
        <w:rPr>
          <w:rFonts w:hint="eastAsia" w:ascii="仿宋_GB2312" w:hAnsi="Calibri"/>
          <w:szCs w:val="32"/>
          <w:lang w:val="en-US" w:eastAsia="zh-CN"/>
        </w:rPr>
        <w:t>2023-2024和2024-2025两个学年的材料需重点梳理。</w:t>
      </w:r>
    </w:p>
    <w:p>
      <w:pPr>
        <w:keepNext w:val="0"/>
        <w:keepLines w:val="0"/>
        <w:pageBreakBefore w:val="0"/>
        <w:numPr>
          <w:ilvl w:val="0"/>
          <w:numId w:val="1"/>
        </w:numPr>
        <w:kinsoku/>
        <w:wordWrap/>
        <w:overflowPunct/>
        <w:topLinePunct w:val="0"/>
        <w:autoSpaceDE/>
        <w:autoSpaceDN/>
        <w:bidi w:val="0"/>
        <w:adjustRightInd w:val="0"/>
        <w:spacing w:line="560" w:lineRule="exact"/>
        <w:ind w:left="0" w:leftChars="0" w:firstLine="566" w:firstLineChars="177"/>
        <w:textAlignment w:val="auto"/>
        <w:rPr>
          <w:rFonts w:hint="eastAsia" w:ascii="黑体" w:hAnsi="黑体" w:eastAsia="黑体" w:cs="黑体"/>
          <w:szCs w:val="32"/>
          <w:lang w:val="en-US" w:eastAsia="zh-CN"/>
        </w:rPr>
      </w:pPr>
      <w:r>
        <w:rPr>
          <w:rFonts w:hint="eastAsia" w:ascii="黑体" w:hAnsi="黑体" w:eastAsia="黑体" w:cs="黑体"/>
          <w:szCs w:val="32"/>
          <w:lang w:val="en-US" w:eastAsia="zh-CN"/>
        </w:rPr>
        <w:t>自查内容</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textAlignment w:val="auto"/>
        <w:outlineLvl w:val="9"/>
        <w:rPr>
          <w:rFonts w:hint="eastAsia" w:ascii="仿宋_GB2312" w:hAnsi="仿宋_GB2312" w:cs="仿宋_GB2312"/>
          <w:szCs w:val="32"/>
          <w:lang w:val="en-US" w:eastAsia="zh-CN"/>
        </w:rPr>
      </w:pPr>
      <w:r>
        <w:rPr>
          <w:rFonts w:hint="eastAsia" w:ascii="楷体" w:hAnsi="楷体" w:eastAsia="楷体" w:cs="楷体"/>
          <w:b/>
          <w:bCs/>
          <w:szCs w:val="32"/>
          <w:lang w:val="en-US" w:eastAsia="zh-CN"/>
        </w:rPr>
        <w:t>（一）培养方案</w:t>
      </w:r>
      <w:r>
        <w:rPr>
          <w:rFonts w:hint="eastAsia" w:ascii="楷体" w:hAnsi="楷体" w:eastAsia="楷体" w:cs="楷体"/>
          <w:b/>
          <w:bCs/>
          <w:szCs w:val="32"/>
          <w:lang w:val="en-US" w:eastAsia="zh-CN"/>
        </w:rPr>
        <w:br w:type="textWrapping"/>
      </w:r>
      <w:r>
        <w:rPr>
          <w:rFonts w:hint="eastAsia" w:ascii="仿宋_GB2312" w:hAnsi="仿宋_GB2312" w:cs="仿宋_GB2312"/>
          <w:szCs w:val="32"/>
          <w:lang w:val="en-US" w:eastAsia="zh-CN"/>
        </w:rPr>
        <w:t xml:space="preserve">    1.各专业正在执行的人才培养方案。包括</w:t>
      </w:r>
      <w:bookmarkStart w:id="0" w:name="OLE_LINK1"/>
      <w:r>
        <w:rPr>
          <w:rFonts w:hint="eastAsia" w:ascii="仿宋_GB2312" w:hAnsi="仿宋_GB2312" w:cs="仿宋_GB2312"/>
          <w:szCs w:val="32"/>
          <w:lang w:val="en-US" w:eastAsia="zh-CN"/>
        </w:rPr>
        <w:t>人才培养方案框架体系、人才培养方案、专业课程设置与培养目标毕业要求对照表、专业毕业要求对应支撑课程表</w:t>
      </w:r>
      <w:bookmarkEnd w:id="0"/>
      <w:r>
        <w:rPr>
          <w:rFonts w:hint="eastAsia" w:ascii="仿宋_GB2312" w:hAnsi="仿宋_GB2312" w:cs="仿宋_GB231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仿宋_GB2312" w:cs="仿宋_GB2312"/>
          <w:szCs w:val="32"/>
          <w:lang w:val="en-US" w:eastAsia="zh-CN"/>
        </w:rPr>
      </w:pPr>
      <w:r>
        <w:rPr>
          <w:rFonts w:hint="eastAsia" w:ascii="仿宋_GB2312" w:hAnsi="仿宋_GB2312" w:cs="仿宋_GB2312"/>
          <w:szCs w:val="32"/>
          <w:lang w:val="en-US" w:eastAsia="zh-CN"/>
        </w:rPr>
        <w:t>2.2022级培养方案制（修）订过程的记录性材料。包括组织校内外教授、行业专家、一线教师等开展人才培养方案调研、论证的会议纪要、论证报告，专家修改意见以及学院教学指导分委员会审议培养方案的工作记录等材料。</w:t>
      </w:r>
    </w:p>
    <w:p>
      <w:pPr>
        <w:keepNext w:val="0"/>
        <w:keepLines w:val="0"/>
        <w:pageBreakBefore w:val="0"/>
        <w:widowControl w:val="0"/>
        <w:kinsoku/>
        <w:wordWrap/>
        <w:overflowPunct/>
        <w:topLinePunct w:val="0"/>
        <w:autoSpaceDE/>
        <w:autoSpaceDN/>
        <w:bidi w:val="0"/>
        <w:adjustRightInd w:val="0"/>
        <w:snapToGrid/>
        <w:spacing w:line="560" w:lineRule="exact"/>
        <w:ind w:firstLine="643" w:firstLineChars="200"/>
        <w:textAlignment w:val="auto"/>
        <w:outlineLvl w:val="9"/>
        <w:rPr>
          <w:rFonts w:hint="eastAsia" w:ascii="楷体" w:hAnsi="楷体" w:eastAsia="楷体" w:cs="楷体"/>
          <w:b/>
          <w:bCs/>
          <w:szCs w:val="32"/>
          <w:lang w:eastAsia="zh-CN"/>
        </w:rPr>
      </w:pPr>
      <w:r>
        <w:rPr>
          <w:rFonts w:hint="eastAsia" w:ascii="楷体" w:hAnsi="楷体" w:eastAsia="楷体" w:cs="楷体"/>
          <w:b/>
          <w:bCs/>
          <w:szCs w:val="32"/>
          <w:lang w:val="en-US" w:eastAsia="zh-CN"/>
        </w:rPr>
        <w:t>（二）</w:t>
      </w:r>
      <w:r>
        <w:rPr>
          <w:rFonts w:hint="eastAsia" w:ascii="楷体" w:hAnsi="楷体" w:eastAsia="楷体" w:cs="楷体"/>
          <w:b/>
          <w:bCs/>
          <w:szCs w:val="32"/>
        </w:rPr>
        <w:t>专业</w:t>
      </w:r>
      <w:r>
        <w:rPr>
          <w:rFonts w:hint="eastAsia" w:ascii="楷体" w:hAnsi="楷体" w:eastAsia="楷体" w:cs="楷体"/>
          <w:b/>
          <w:bCs/>
          <w:szCs w:val="32"/>
          <w:lang w:eastAsia="zh-CN"/>
        </w:rPr>
        <w:t>建设</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szCs w:val="32"/>
        </w:rPr>
      </w:pPr>
      <w:r>
        <w:rPr>
          <w:rFonts w:hint="eastAsia" w:ascii="仿宋_GB2312" w:hAnsi="Calibri"/>
          <w:szCs w:val="32"/>
          <w:lang w:val="en-US" w:eastAsia="zh-CN"/>
        </w:rPr>
        <w:t>1.2018年（含）</w:t>
      </w:r>
      <w:r>
        <w:rPr>
          <w:rFonts w:hint="eastAsia" w:ascii="仿宋_GB2312" w:hAnsi="Calibri"/>
          <w:szCs w:val="32"/>
        </w:rPr>
        <w:t>以来</w:t>
      </w:r>
      <w:r>
        <w:rPr>
          <w:rFonts w:hint="eastAsia" w:ascii="仿宋_GB2312" w:hAnsi="Calibri"/>
          <w:szCs w:val="32"/>
          <w:lang w:eastAsia="zh-CN"/>
        </w:rPr>
        <w:t>，学院关于</w:t>
      </w:r>
      <w:r>
        <w:rPr>
          <w:rFonts w:hint="eastAsia" w:ascii="仿宋_GB2312" w:hAnsi="Calibri"/>
          <w:szCs w:val="32"/>
        </w:rPr>
        <w:t>专业设置</w:t>
      </w:r>
      <w:r>
        <w:rPr>
          <w:rFonts w:hint="eastAsia" w:ascii="仿宋_GB2312" w:hAnsi="Calibri"/>
          <w:szCs w:val="32"/>
          <w:lang w:eastAsia="zh-CN"/>
        </w:rPr>
        <w:t>调整的</w:t>
      </w:r>
      <w:r>
        <w:rPr>
          <w:rFonts w:hint="eastAsia" w:ascii="仿宋_GB2312" w:hAnsi="Calibri"/>
          <w:szCs w:val="32"/>
        </w:rPr>
        <w:t>调研、论证分析等材料</w:t>
      </w:r>
      <w:r>
        <w:rPr>
          <w:rFonts w:hint="eastAsia" w:ascii="仿宋_GB2312" w:hAnsi="Calibri"/>
          <w:szCs w:val="32"/>
          <w:lang w:eastAsia="zh-CN"/>
        </w:rPr>
        <w:t>，以及学院专业建设制度相关文件</w:t>
      </w:r>
      <w:r>
        <w:rPr>
          <w:rFonts w:hint="eastAsia" w:ascii="仿宋_GB2312" w:hAnsi="Calibri"/>
          <w:szCs w:val="32"/>
        </w:rPr>
        <w:t>。</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szCs w:val="32"/>
          <w:lang w:val="en-US" w:eastAsia="zh-CN"/>
        </w:rPr>
      </w:pPr>
      <w:r>
        <w:rPr>
          <w:rFonts w:hint="eastAsia" w:ascii="仿宋_GB2312" w:hAnsi="Calibri"/>
          <w:szCs w:val="32"/>
          <w:lang w:val="en-US" w:eastAsia="zh-CN"/>
        </w:rPr>
        <w:t>2.2018年（含）以来新专业申报材料、论证材料，以及新增学士学位专业申报材料等。</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szCs w:val="32"/>
          <w:lang w:val="en-US" w:eastAsia="zh-CN"/>
        </w:rPr>
      </w:pPr>
      <w:r>
        <w:rPr>
          <w:rFonts w:hint="eastAsia" w:ascii="仿宋_GB2312" w:hAnsi="Calibri"/>
          <w:szCs w:val="32"/>
          <w:lang w:val="en-US" w:eastAsia="zh-CN"/>
        </w:rPr>
        <w:t>3.</w:t>
      </w:r>
      <w:bookmarkStart w:id="3" w:name="_GoBack"/>
      <w:bookmarkEnd w:id="3"/>
      <w:r>
        <w:rPr>
          <w:rFonts w:hint="eastAsia" w:ascii="仿宋_GB2312" w:hAnsi="Calibri"/>
          <w:szCs w:val="32"/>
          <w:lang w:val="en-US" w:eastAsia="zh-CN"/>
        </w:rPr>
        <w:t>国家级、省级一流本科专业建设点申报材料、建设成效自评报告、自评表及佐证材料等。</w:t>
      </w:r>
    </w:p>
    <w:p>
      <w:pPr>
        <w:keepNext w:val="0"/>
        <w:keepLines w:val="0"/>
        <w:pageBreakBefore w:val="0"/>
        <w:kinsoku/>
        <w:wordWrap/>
        <w:overflowPunct/>
        <w:topLinePunct w:val="0"/>
        <w:autoSpaceDE/>
        <w:autoSpaceDN/>
        <w:bidi w:val="0"/>
        <w:adjustRightInd w:val="0"/>
        <w:spacing w:line="560" w:lineRule="exact"/>
        <w:ind w:firstLine="643" w:firstLineChars="200"/>
        <w:textAlignment w:val="auto"/>
        <w:rPr>
          <w:rFonts w:hint="eastAsia" w:ascii="楷体" w:hAnsi="楷体" w:eastAsia="楷体" w:cs="楷体"/>
          <w:b/>
          <w:bCs/>
          <w:szCs w:val="32"/>
          <w:lang w:eastAsia="zh-CN"/>
        </w:rPr>
      </w:pPr>
      <w:r>
        <w:rPr>
          <w:rFonts w:hint="eastAsia" w:ascii="楷体" w:hAnsi="楷体" w:eastAsia="楷体" w:cs="楷体"/>
          <w:b/>
          <w:bCs/>
          <w:szCs w:val="32"/>
          <w:lang w:eastAsia="zh-CN"/>
        </w:rPr>
        <w:t>（三）课程材料</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eastAsia="仿宋_GB2312"/>
          <w:szCs w:val="32"/>
          <w:lang w:eastAsia="zh-CN"/>
        </w:rPr>
      </w:pPr>
      <w:r>
        <w:rPr>
          <w:rFonts w:hint="eastAsia" w:ascii="仿宋_GB2312" w:hAnsi="Calibri"/>
          <w:szCs w:val="32"/>
          <w:lang w:val="en-US" w:eastAsia="zh-CN"/>
        </w:rPr>
        <w:t>2021-2022学年（含）以来</w:t>
      </w:r>
      <w:r>
        <w:rPr>
          <w:rFonts w:hint="eastAsia" w:ascii="仿宋_GB2312" w:hAnsi="Calibri"/>
          <w:szCs w:val="32"/>
          <w:lang w:eastAsia="zh-CN"/>
        </w:rPr>
        <w:t>理论课教学过程材料，分学期以课程为单位整理。</w:t>
      </w:r>
      <w:r>
        <w:rPr>
          <w:rFonts w:hint="eastAsia" w:ascii="仿宋_GB2312" w:hAnsi="Calibri"/>
          <w:szCs w:val="32"/>
        </w:rPr>
        <w:t>包括</w:t>
      </w:r>
      <w:bookmarkStart w:id="1" w:name="OLE_LINK3"/>
      <w:r>
        <w:rPr>
          <w:rFonts w:hint="eastAsia" w:ascii="仿宋_GB2312" w:hAnsi="Calibri"/>
          <w:szCs w:val="32"/>
          <w:lang w:eastAsia="zh-CN"/>
        </w:rPr>
        <w:t>课程教学大纲、</w:t>
      </w:r>
      <w:r>
        <w:rPr>
          <w:rFonts w:hint="eastAsia" w:ascii="仿宋_GB2312" w:hAnsi="Calibri"/>
          <w:szCs w:val="32"/>
          <w:highlight w:val="none"/>
          <w:lang w:eastAsia="zh-CN"/>
        </w:rPr>
        <w:t>教案、</w:t>
      </w:r>
      <w:r>
        <w:rPr>
          <w:rFonts w:hint="eastAsia" w:ascii="仿宋_GB2312" w:hAnsi="Calibri"/>
          <w:szCs w:val="32"/>
        </w:rPr>
        <w:t>课件、教学日历</w:t>
      </w:r>
      <w:r>
        <w:rPr>
          <w:rFonts w:hint="eastAsia" w:ascii="仿宋_GB2312" w:hAnsi="Calibri"/>
          <w:szCs w:val="32"/>
          <w:lang w:eastAsia="zh-CN"/>
        </w:rPr>
        <w:t>、</w:t>
      </w:r>
      <w:r>
        <w:rPr>
          <w:rFonts w:hint="eastAsia" w:ascii="仿宋_GB2312" w:hAnsi="Calibri"/>
          <w:szCs w:val="32"/>
        </w:rPr>
        <w:t>教材</w:t>
      </w:r>
      <w:r>
        <w:rPr>
          <w:rFonts w:hint="eastAsia" w:ascii="仿宋_GB2312" w:hAnsi="Calibri"/>
          <w:szCs w:val="32"/>
          <w:lang w:eastAsia="zh-CN"/>
        </w:rPr>
        <w:t>与</w:t>
      </w:r>
      <w:r>
        <w:rPr>
          <w:rFonts w:hint="eastAsia" w:ascii="仿宋_GB2312" w:hAnsi="Calibri"/>
          <w:szCs w:val="32"/>
        </w:rPr>
        <w:t>参考书目</w:t>
      </w:r>
      <w:r>
        <w:rPr>
          <w:rFonts w:hint="eastAsia" w:ascii="仿宋_GB2312" w:hAnsi="Calibri"/>
          <w:szCs w:val="32"/>
          <w:lang w:eastAsia="zh-CN"/>
        </w:rPr>
        <w:t>、本科教材选用审批表</w:t>
      </w:r>
      <w:bookmarkEnd w:id="1"/>
      <w:r>
        <w:rPr>
          <w:rFonts w:hint="eastAsia" w:ascii="仿宋_GB2312" w:hAnsi="Calibri"/>
          <w:szCs w:val="32"/>
          <w:lang w:eastAsia="zh-CN"/>
        </w:rPr>
        <w:t>、</w:t>
      </w:r>
      <w:r>
        <w:rPr>
          <w:rFonts w:hint="eastAsia" w:ascii="仿宋_GB2312" w:hAnsi="Calibri"/>
          <w:szCs w:val="32"/>
          <w:highlight w:val="none"/>
          <w:lang w:eastAsia="zh-CN"/>
        </w:rPr>
        <w:t>学生作业或论文等考核材料、</w:t>
      </w:r>
      <w:r>
        <w:rPr>
          <w:rFonts w:hint="eastAsia" w:ascii="仿宋_GB2312" w:hAnsi="Calibri"/>
          <w:szCs w:val="32"/>
          <w:lang w:eastAsia="zh-CN"/>
        </w:rPr>
        <w:t>试卷装订材料（命题审批表、标准答案、考场报告单、成绩单、试卷分析、学生试卷）</w:t>
      </w:r>
      <w:r>
        <w:rPr>
          <w:rFonts w:hint="eastAsia" w:ascii="仿宋_GB2312" w:hAnsi="Calibri"/>
          <w:szCs w:val="32"/>
        </w:rPr>
        <w:t>等。</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eastAsia="仿宋_GB2312"/>
          <w:szCs w:val="32"/>
          <w:lang w:eastAsia="zh-CN"/>
        </w:rPr>
      </w:pPr>
      <w:bookmarkStart w:id="2" w:name="OLE_LINK2"/>
      <w:r>
        <w:rPr>
          <w:rFonts w:hint="eastAsia" w:ascii="仿宋_GB2312" w:hAnsi="Calibri"/>
          <w:szCs w:val="32"/>
          <w:lang w:eastAsia="zh-CN"/>
        </w:rPr>
        <w:t>国家级</w:t>
      </w:r>
      <w:r>
        <w:rPr>
          <w:rFonts w:hint="eastAsia" w:ascii="仿宋_GB2312" w:hAnsi="Calibri"/>
          <w:szCs w:val="32"/>
          <w:lang w:val="en-US" w:eastAsia="zh-CN"/>
        </w:rPr>
        <w:t>/</w:t>
      </w:r>
      <w:r>
        <w:rPr>
          <w:rFonts w:hint="eastAsia" w:ascii="仿宋_GB2312" w:hAnsi="Calibri"/>
          <w:szCs w:val="32"/>
          <w:lang w:eastAsia="zh-CN"/>
        </w:rPr>
        <w:t>省级一流本科课程、课程思政示范课程、专业核心课程需重点审查。</w:t>
      </w:r>
    </w:p>
    <w:bookmarkEnd w:id="2"/>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textAlignment w:val="auto"/>
        <w:outlineLvl w:val="9"/>
        <w:rPr>
          <w:rFonts w:hint="eastAsia" w:ascii="楷体" w:hAnsi="楷体" w:eastAsia="楷体" w:cs="楷体"/>
          <w:b/>
          <w:bCs/>
          <w:szCs w:val="32"/>
          <w:highlight w:val="none"/>
          <w:lang w:val="en-US" w:eastAsia="zh-CN"/>
        </w:rPr>
      </w:pPr>
      <w:r>
        <w:rPr>
          <w:rFonts w:hint="eastAsia" w:ascii="楷体" w:hAnsi="楷体" w:eastAsia="楷体" w:cs="楷体"/>
          <w:b/>
          <w:bCs/>
          <w:szCs w:val="32"/>
          <w:highlight w:val="none"/>
          <w:lang w:val="en-US" w:eastAsia="zh-CN"/>
        </w:rPr>
        <w:t>（四）实践教学材料</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szCs w:val="32"/>
          <w:highlight w:val="none"/>
          <w:lang w:val="en-US" w:eastAsia="zh-CN"/>
        </w:rPr>
      </w:pPr>
      <w:r>
        <w:rPr>
          <w:rFonts w:hint="eastAsia" w:ascii="仿宋_GB2312" w:hAnsi="Calibri"/>
          <w:szCs w:val="32"/>
          <w:highlight w:val="none"/>
          <w:lang w:val="en-US" w:eastAsia="zh-CN"/>
        </w:rPr>
        <w:t>2021-2022学年（含）以来实验教学和实习教学管理与过程材料。</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eastAsia="仿宋_GB2312"/>
          <w:szCs w:val="32"/>
          <w:highlight w:val="none"/>
          <w:lang w:eastAsia="zh-CN"/>
        </w:rPr>
      </w:pPr>
      <w:r>
        <w:rPr>
          <w:rFonts w:hint="eastAsia" w:ascii="仿宋_GB2312" w:hAnsi="Calibri"/>
          <w:szCs w:val="32"/>
          <w:highlight w:val="none"/>
          <w:lang w:val="en-US" w:eastAsia="zh-CN"/>
        </w:rPr>
        <w:t>1</w:t>
      </w:r>
      <w:r>
        <w:rPr>
          <w:rFonts w:hint="eastAsia" w:ascii="仿宋_GB2312" w:hAnsi="Calibri"/>
          <w:color w:val="auto"/>
          <w:szCs w:val="32"/>
          <w:highlight w:val="none"/>
          <w:lang w:val="en-US" w:eastAsia="zh-CN"/>
        </w:rPr>
        <w:t>.实验教学材料，按学期整理。包括实验教</w:t>
      </w:r>
      <w:r>
        <w:rPr>
          <w:rFonts w:hint="eastAsia" w:ascii="仿宋_GB2312" w:hAnsi="Calibri"/>
          <w:color w:val="auto"/>
          <w:spacing w:val="-6"/>
          <w:szCs w:val="32"/>
          <w:highlight w:val="none"/>
          <w:lang w:val="en-US" w:eastAsia="zh-CN"/>
        </w:rPr>
        <w:t>学大纲、实验教材或指导书、学生实验报告、成绩单与成绩分析等过程材料，以及学院实验教学工作总结等。</w:t>
      </w:r>
    </w:p>
    <w:p>
      <w:pPr>
        <w:keepNext w:val="0"/>
        <w:keepLines w:val="0"/>
        <w:pageBreakBefore w:val="0"/>
        <w:widowControl w:val="0"/>
        <w:numPr>
          <w:numId w:val="0"/>
        </w:numPr>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color w:val="auto"/>
          <w:szCs w:val="32"/>
          <w:highlight w:val="none"/>
          <w:lang w:val="en-US" w:eastAsia="zh-CN"/>
        </w:rPr>
      </w:pPr>
      <w:r>
        <w:rPr>
          <w:rFonts w:hint="eastAsia" w:ascii="仿宋_GB2312" w:hAnsi="Calibri"/>
          <w:color w:val="auto"/>
          <w:szCs w:val="32"/>
          <w:highlight w:val="none"/>
          <w:lang w:val="en-US" w:eastAsia="zh-CN"/>
        </w:rPr>
        <w:t>2.实习教学材料，按学年整理。包括实习教学大纲、实习教学计划表、实习教材及参考书/实习指导书、实习动员记录、分散实习申请表、实习日记、实习教学鉴定表、实习报告、毕业实习评价表等过程材料，以及校内外实习单位情况表、实习指导教师情况表、实习基地指导人员一览表、实习经费使用情况表、实践教育基地协议、学院实习教学工作总结等。</w:t>
      </w:r>
    </w:p>
    <w:p>
      <w:pPr>
        <w:keepNext w:val="0"/>
        <w:keepLines w:val="0"/>
        <w:pageBreakBefore w:val="0"/>
        <w:kinsoku/>
        <w:wordWrap/>
        <w:overflowPunct/>
        <w:topLinePunct w:val="0"/>
        <w:autoSpaceDE/>
        <w:autoSpaceDN/>
        <w:bidi w:val="0"/>
        <w:adjustRightInd w:val="0"/>
        <w:spacing w:line="560" w:lineRule="exact"/>
        <w:ind w:firstLine="643" w:firstLineChars="200"/>
        <w:textAlignment w:val="auto"/>
        <w:rPr>
          <w:rFonts w:hint="eastAsia" w:ascii="楷体" w:hAnsi="楷体" w:eastAsia="楷体" w:cs="楷体"/>
          <w:b/>
          <w:bCs/>
          <w:szCs w:val="32"/>
          <w:highlight w:val="none"/>
        </w:rPr>
      </w:pPr>
      <w:r>
        <w:rPr>
          <w:rFonts w:hint="eastAsia" w:ascii="楷体" w:hAnsi="楷体" w:eastAsia="楷体" w:cs="楷体"/>
          <w:b/>
          <w:bCs/>
          <w:szCs w:val="32"/>
          <w:highlight w:val="none"/>
          <w:lang w:eastAsia="zh-CN"/>
        </w:rPr>
        <w:t>（五）</w:t>
      </w:r>
      <w:r>
        <w:rPr>
          <w:rFonts w:hint="eastAsia" w:ascii="楷体" w:hAnsi="楷体" w:eastAsia="楷体" w:cs="楷体"/>
          <w:b/>
          <w:bCs/>
          <w:szCs w:val="32"/>
          <w:highlight w:val="none"/>
        </w:rPr>
        <w:t>毕业论文（设计）</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highlight w:val="none"/>
          <w:lang w:eastAsia="zh-CN"/>
        </w:rPr>
      </w:pPr>
      <w:r>
        <w:rPr>
          <w:rFonts w:hint="eastAsia" w:ascii="仿宋_GB2312" w:hAnsi="Calibri"/>
          <w:szCs w:val="32"/>
          <w:highlight w:val="none"/>
          <w:lang w:val="en-US" w:eastAsia="zh-CN"/>
        </w:rPr>
        <w:t>2023、2024、2025届</w:t>
      </w:r>
      <w:r>
        <w:rPr>
          <w:rFonts w:hint="eastAsia" w:ascii="仿宋_GB2312" w:hAnsi="Calibri"/>
          <w:szCs w:val="32"/>
          <w:highlight w:val="none"/>
        </w:rPr>
        <w:t>毕业论文(设计)</w:t>
      </w:r>
      <w:r>
        <w:rPr>
          <w:rFonts w:hint="eastAsia" w:ascii="仿宋_GB2312" w:hAnsi="Calibri"/>
          <w:szCs w:val="32"/>
          <w:highlight w:val="none"/>
          <w:lang w:eastAsia="zh-CN"/>
        </w:rPr>
        <w:t>相关材料</w:t>
      </w:r>
      <w:r>
        <w:rPr>
          <w:rFonts w:hint="eastAsia" w:ascii="仿宋_GB2312" w:hAnsi="Calibri"/>
          <w:szCs w:val="32"/>
          <w:highlight w:val="none"/>
        </w:rPr>
        <w:t>，</w:t>
      </w:r>
      <w:r>
        <w:rPr>
          <w:rFonts w:hint="eastAsia" w:ascii="仿宋_GB2312" w:hAnsi="Calibri"/>
          <w:szCs w:val="32"/>
          <w:highlight w:val="none"/>
          <w:lang w:eastAsia="zh-CN"/>
        </w:rPr>
        <w:t>按自然年整理。</w:t>
      </w:r>
      <w:r>
        <w:rPr>
          <w:rFonts w:hint="eastAsia" w:ascii="仿宋_GB2312" w:hAnsi="Calibri"/>
          <w:szCs w:val="32"/>
          <w:highlight w:val="none"/>
        </w:rPr>
        <w:t>包括</w:t>
      </w:r>
      <w:r>
        <w:rPr>
          <w:rFonts w:hint="eastAsia" w:ascii="仿宋_GB2312" w:hAnsi="Calibri"/>
          <w:szCs w:val="32"/>
          <w:highlight w:val="none"/>
          <w:lang w:eastAsia="zh-CN"/>
        </w:rPr>
        <w:t>开题报告书、中期检查表、指导记录表、答辩记录表、答辩决议表、成绩评定表、毕业论文（设计）原文及查重报告等过程材料，以及各专业本科生毕业论文（设计）工作领导小组名单、答辩小组成员名单、答辩工作安排、学院毕业论文（设计）工作总结等。</w:t>
      </w:r>
    </w:p>
    <w:p>
      <w:pPr>
        <w:keepNext w:val="0"/>
        <w:keepLines w:val="0"/>
        <w:pageBreakBefore w:val="0"/>
        <w:numPr>
          <w:ilvl w:val="0"/>
          <w:numId w:val="0"/>
        </w:numPr>
        <w:kinsoku/>
        <w:wordWrap/>
        <w:overflowPunct/>
        <w:topLinePunct w:val="0"/>
        <w:autoSpaceDE/>
        <w:autoSpaceDN/>
        <w:bidi w:val="0"/>
        <w:adjustRightInd w:val="0"/>
        <w:spacing w:line="560" w:lineRule="exact"/>
        <w:ind w:firstLine="643" w:firstLineChars="200"/>
        <w:textAlignment w:val="auto"/>
        <w:rPr>
          <w:rFonts w:hint="eastAsia" w:ascii="楷体" w:hAnsi="楷体" w:eastAsia="楷体" w:cs="楷体"/>
          <w:b/>
          <w:bCs/>
          <w:szCs w:val="32"/>
          <w:highlight w:val="none"/>
          <w:lang w:val="en-US" w:eastAsia="zh-CN"/>
        </w:rPr>
      </w:pPr>
      <w:r>
        <w:rPr>
          <w:rFonts w:hint="eastAsia" w:ascii="楷体" w:hAnsi="楷体" w:eastAsia="楷体" w:cs="楷体"/>
          <w:b/>
          <w:bCs/>
          <w:szCs w:val="32"/>
          <w:highlight w:val="none"/>
          <w:lang w:val="en-US" w:eastAsia="zh-CN"/>
        </w:rPr>
        <w:t>（六）线上教学过程材料</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outlineLvl w:val="9"/>
        <w:rPr>
          <w:rFonts w:hint="eastAsia" w:ascii="仿宋_GB2312" w:hAnsi="Calibri"/>
          <w:szCs w:val="32"/>
          <w:highlight w:val="none"/>
          <w:lang w:val="en-US" w:eastAsia="zh-CN"/>
        </w:rPr>
      </w:pPr>
      <w:r>
        <w:rPr>
          <w:rFonts w:hint="eastAsia" w:ascii="仿宋_GB2312" w:hAnsi="Calibri"/>
          <w:szCs w:val="32"/>
          <w:highlight w:val="none"/>
          <w:lang w:val="en-US" w:eastAsia="zh-CN"/>
        </w:rPr>
        <w:t>2021-2022-1、2021-2022-2、2022-2023-1三个学期可能涉及到的考试、实验、实习等线上教学材料，以电子版形式归档，应确保其完整性。</w:t>
      </w:r>
    </w:p>
    <w:p>
      <w:pPr>
        <w:keepNext w:val="0"/>
        <w:keepLines w:val="0"/>
        <w:pageBreakBefore w:val="0"/>
        <w:numPr>
          <w:ilvl w:val="0"/>
          <w:numId w:val="0"/>
        </w:numPr>
        <w:kinsoku/>
        <w:wordWrap/>
        <w:overflowPunct/>
        <w:topLinePunct w:val="0"/>
        <w:autoSpaceDE/>
        <w:autoSpaceDN/>
        <w:bidi w:val="0"/>
        <w:adjustRightInd w:val="0"/>
        <w:spacing w:line="560" w:lineRule="exact"/>
        <w:ind w:leftChars="200"/>
        <w:textAlignment w:val="auto"/>
        <w:rPr>
          <w:rFonts w:hint="eastAsia" w:ascii="楷体" w:hAnsi="楷体" w:eastAsia="楷体" w:cs="楷体"/>
          <w:b/>
          <w:bCs/>
          <w:szCs w:val="32"/>
        </w:rPr>
      </w:pPr>
      <w:r>
        <w:rPr>
          <w:rFonts w:hint="eastAsia" w:ascii="楷体" w:hAnsi="楷体" w:eastAsia="楷体" w:cs="楷体"/>
          <w:b/>
          <w:bCs/>
          <w:szCs w:val="32"/>
          <w:lang w:eastAsia="zh-CN"/>
        </w:rPr>
        <w:t>（七）</w:t>
      </w:r>
      <w:r>
        <w:rPr>
          <w:rFonts w:hint="eastAsia" w:ascii="楷体" w:hAnsi="楷体" w:eastAsia="楷体" w:cs="楷体"/>
          <w:b/>
          <w:bCs/>
          <w:szCs w:val="32"/>
        </w:rPr>
        <w:t>教学管理制度与文件</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eastAsia="仿宋_GB2312"/>
          <w:szCs w:val="32"/>
          <w:lang w:eastAsia="zh-CN"/>
        </w:rPr>
      </w:pPr>
      <w:r>
        <w:rPr>
          <w:rFonts w:hint="eastAsia" w:ascii="仿宋_GB2312" w:hAnsi="Calibri"/>
          <w:szCs w:val="32"/>
        </w:rPr>
        <w:t>对院系现行的教学管理制度文件及</w:t>
      </w:r>
      <w:r>
        <w:rPr>
          <w:rFonts w:hint="eastAsia" w:ascii="仿宋_GB2312" w:hAnsi="Calibri"/>
          <w:szCs w:val="32"/>
          <w:lang w:val="en-US" w:eastAsia="zh-CN"/>
        </w:rPr>
        <w:t>2021-2022学年（含）以来</w:t>
      </w:r>
      <w:r>
        <w:rPr>
          <w:rFonts w:hint="eastAsia" w:ascii="仿宋_GB2312" w:hAnsi="Calibri"/>
          <w:szCs w:val="32"/>
        </w:rPr>
        <w:t>的落实情况进行自查与归档</w:t>
      </w:r>
      <w:r>
        <w:rPr>
          <w:rFonts w:hint="eastAsia" w:ascii="仿宋_GB2312" w:hAnsi="Calibri"/>
          <w:szCs w:val="32"/>
          <w:lang w:eastAsia="zh-CN"/>
        </w:rPr>
        <w:t>。</w:t>
      </w:r>
    </w:p>
    <w:p>
      <w:pPr>
        <w:keepNext w:val="0"/>
        <w:keepLines w:val="0"/>
        <w:pageBreakBefore w:val="0"/>
        <w:numPr>
          <w:ilvl w:val="0"/>
          <w:numId w:val="0"/>
        </w:numPr>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rPr>
      </w:pPr>
      <w:r>
        <w:rPr>
          <w:rFonts w:hint="eastAsia" w:ascii="仿宋_GB2312" w:hAnsi="Calibri"/>
          <w:szCs w:val="32"/>
          <w:lang w:val="en-US" w:eastAsia="zh-CN"/>
        </w:rPr>
        <w:t>1.</w:t>
      </w:r>
      <w:r>
        <w:rPr>
          <w:rFonts w:hint="eastAsia" w:ascii="仿宋_GB2312" w:hAnsi="Calibri"/>
          <w:szCs w:val="32"/>
        </w:rPr>
        <w:t>院</w:t>
      </w:r>
      <w:r>
        <w:rPr>
          <w:rFonts w:hint="eastAsia" w:ascii="仿宋_GB2312" w:hAnsi="Calibri"/>
          <w:szCs w:val="32"/>
          <w:lang w:eastAsia="zh-CN"/>
        </w:rPr>
        <w:t>系教育</w:t>
      </w:r>
      <w:r>
        <w:rPr>
          <w:rFonts w:hint="eastAsia" w:ascii="仿宋_GB2312" w:hAnsi="Calibri"/>
          <w:szCs w:val="32"/>
        </w:rPr>
        <w:t>教学管理制度与文件</w:t>
      </w:r>
      <w:r>
        <w:rPr>
          <w:rFonts w:hint="eastAsia" w:ascii="仿宋_GB2312" w:hAnsi="Calibri"/>
          <w:szCs w:val="32"/>
          <w:lang w:eastAsia="zh-CN"/>
        </w:rPr>
        <w:t>，包括思政教育、培养方案、专业建设、课堂教学、</w:t>
      </w:r>
      <w:r>
        <w:rPr>
          <w:rFonts w:hint="eastAsia" w:ascii="仿宋_GB2312" w:hAnsi="Calibri"/>
          <w:szCs w:val="32"/>
          <w:highlight w:val="none"/>
          <w:lang w:eastAsia="zh-CN"/>
        </w:rPr>
        <w:t>实践教学、</w:t>
      </w:r>
      <w:r>
        <w:rPr>
          <w:rFonts w:hint="eastAsia" w:ascii="仿宋_GB2312" w:hAnsi="Calibri"/>
          <w:szCs w:val="32"/>
          <w:lang w:eastAsia="zh-CN"/>
        </w:rPr>
        <w:t>毕业论文（设计）、创新创业教育、教师队伍、学生发展、质量保障等方面</w:t>
      </w:r>
      <w:r>
        <w:rPr>
          <w:rFonts w:hint="eastAsia" w:ascii="仿宋_GB2312" w:hAnsi="Calibri"/>
          <w:szCs w:val="32"/>
        </w:rPr>
        <w:t>；</w:t>
      </w:r>
    </w:p>
    <w:p>
      <w:pPr>
        <w:keepNext w:val="0"/>
        <w:keepLines w:val="0"/>
        <w:pageBreakBefore w:val="0"/>
        <w:numPr>
          <w:ilvl w:val="0"/>
          <w:numId w:val="0"/>
        </w:numPr>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rPr>
      </w:pPr>
      <w:r>
        <w:rPr>
          <w:rFonts w:hint="eastAsia" w:ascii="仿宋_GB2312" w:hAnsi="仿宋_GB2312" w:cs="仿宋_GB2312"/>
          <w:szCs w:val="32"/>
          <w:lang w:val="en-US" w:eastAsia="zh-CN"/>
        </w:rPr>
        <w:t>2.学院学习研究落实“以本为本”，研讨本科教学工作的会议记录等材料，包括学院党委会议、党政联席会议、教师工作会议等</w:t>
      </w:r>
      <w:r>
        <w:rPr>
          <w:rFonts w:hint="eastAsia" w:ascii="仿宋_GB2312" w:hAnsi="Calibri"/>
          <w:szCs w:val="32"/>
        </w:rPr>
        <w:t>；</w:t>
      </w:r>
    </w:p>
    <w:p>
      <w:pPr>
        <w:keepNext w:val="0"/>
        <w:keepLines w:val="0"/>
        <w:pageBreakBefore w:val="0"/>
        <w:numPr>
          <w:ilvl w:val="0"/>
          <w:numId w:val="0"/>
        </w:numPr>
        <w:kinsoku/>
        <w:wordWrap/>
        <w:overflowPunct/>
        <w:topLinePunct w:val="0"/>
        <w:autoSpaceDE/>
        <w:autoSpaceDN/>
        <w:bidi w:val="0"/>
        <w:adjustRightInd w:val="0"/>
        <w:spacing w:line="560" w:lineRule="exact"/>
        <w:ind w:firstLine="616" w:firstLineChars="200"/>
        <w:textAlignment w:val="auto"/>
        <w:rPr>
          <w:rFonts w:hint="eastAsia" w:ascii="仿宋_GB2312" w:hAnsi="Calibri"/>
          <w:spacing w:val="-6"/>
          <w:szCs w:val="32"/>
          <w:lang w:val="en-US" w:eastAsia="zh-CN"/>
        </w:rPr>
      </w:pPr>
      <w:r>
        <w:rPr>
          <w:rFonts w:hint="eastAsia" w:ascii="仿宋_GB2312" w:hAnsi="Calibri"/>
          <w:spacing w:val="-6"/>
          <w:szCs w:val="32"/>
          <w:lang w:val="en-US" w:eastAsia="zh-CN"/>
        </w:rPr>
        <w:t>3.院系领导、专家听课记录等相关材料；</w:t>
      </w:r>
    </w:p>
    <w:p>
      <w:pPr>
        <w:keepNext w:val="0"/>
        <w:keepLines w:val="0"/>
        <w:pageBreakBefore w:val="0"/>
        <w:numPr>
          <w:ilvl w:val="0"/>
          <w:numId w:val="0"/>
        </w:numPr>
        <w:kinsoku/>
        <w:wordWrap/>
        <w:overflowPunct/>
        <w:topLinePunct w:val="0"/>
        <w:autoSpaceDE/>
        <w:autoSpaceDN/>
        <w:bidi w:val="0"/>
        <w:adjustRightInd w:val="0"/>
        <w:spacing w:line="560" w:lineRule="exact"/>
        <w:ind w:firstLine="616" w:firstLineChars="200"/>
        <w:textAlignment w:val="auto"/>
        <w:rPr>
          <w:rFonts w:hint="eastAsia" w:ascii="仿宋_GB2312" w:hAnsi="Calibri"/>
          <w:spacing w:val="-6"/>
          <w:szCs w:val="32"/>
          <w:lang w:eastAsia="zh-CN"/>
        </w:rPr>
      </w:pPr>
      <w:r>
        <w:rPr>
          <w:rFonts w:hint="eastAsia" w:ascii="仿宋_GB2312" w:hAnsi="Calibri"/>
          <w:spacing w:val="-6"/>
          <w:szCs w:val="32"/>
          <w:lang w:val="en-US" w:eastAsia="zh-CN"/>
        </w:rPr>
        <w:t>4.各类教学检查相关材料，包括</w:t>
      </w:r>
      <w:r>
        <w:rPr>
          <w:rFonts w:hint="eastAsia" w:ascii="仿宋_GB2312" w:hAnsi="Calibri"/>
          <w:spacing w:val="-6"/>
          <w:szCs w:val="32"/>
          <w:lang w:eastAsia="zh-CN"/>
        </w:rPr>
        <w:t>学期初、期中和期末教学检查、实验教学工作检查记录等</w:t>
      </w:r>
      <w:r>
        <w:rPr>
          <w:rFonts w:hint="eastAsia" w:ascii="仿宋_GB2312" w:hAnsi="Calibri"/>
          <w:spacing w:val="-6"/>
          <w:szCs w:val="32"/>
          <w:lang w:val="en-US" w:eastAsia="zh-CN"/>
        </w:rPr>
        <w:t>；</w:t>
      </w:r>
    </w:p>
    <w:p>
      <w:pPr>
        <w:keepNext w:val="0"/>
        <w:keepLines w:val="0"/>
        <w:pageBreakBefore w:val="0"/>
        <w:numPr>
          <w:ilvl w:val="0"/>
          <w:numId w:val="0"/>
        </w:numPr>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lang w:eastAsia="zh-CN"/>
        </w:rPr>
      </w:pPr>
      <w:r>
        <w:rPr>
          <w:rFonts w:hint="eastAsia" w:ascii="仿宋_GB2312" w:hAnsi="Calibri"/>
          <w:szCs w:val="32"/>
          <w:lang w:val="en-US" w:eastAsia="zh-CN"/>
        </w:rPr>
        <w:t>5.</w:t>
      </w:r>
      <w:r>
        <w:rPr>
          <w:rFonts w:hint="eastAsia" w:ascii="仿宋_GB2312" w:hAnsi="Calibri"/>
          <w:szCs w:val="32"/>
        </w:rPr>
        <w:t>基层教学组织</w:t>
      </w:r>
      <w:r>
        <w:rPr>
          <w:rFonts w:hint="eastAsia" w:ascii="仿宋_GB2312" w:hAnsi="Calibri"/>
          <w:szCs w:val="32"/>
          <w:highlight w:val="none"/>
        </w:rPr>
        <w:t>(教研室、</w:t>
      </w:r>
      <w:r>
        <w:rPr>
          <w:rFonts w:hint="eastAsia" w:ascii="仿宋_GB2312" w:hAnsi="Calibri"/>
          <w:szCs w:val="32"/>
          <w:highlight w:val="none"/>
          <w:lang w:eastAsia="zh-CN"/>
        </w:rPr>
        <w:t>教学团队、课程组</w:t>
      </w:r>
      <w:r>
        <w:rPr>
          <w:rFonts w:hint="eastAsia" w:ascii="仿宋_GB2312" w:hAnsi="Calibri"/>
          <w:szCs w:val="32"/>
          <w:highlight w:val="none"/>
        </w:rPr>
        <w:t>等</w:t>
      </w:r>
      <w:r>
        <w:rPr>
          <w:rFonts w:hint="eastAsia" w:ascii="仿宋_GB2312" w:hAnsi="Calibri"/>
          <w:szCs w:val="32"/>
        </w:rPr>
        <w:t>)教研活动记录等相关材料</w:t>
      </w:r>
      <w:r>
        <w:rPr>
          <w:rFonts w:hint="eastAsia" w:ascii="仿宋_GB2312" w:hAnsi="Calibri"/>
          <w:szCs w:val="32"/>
          <w:lang w:eastAsia="zh-CN"/>
        </w:rPr>
        <w:t>。</w:t>
      </w:r>
    </w:p>
    <w:p>
      <w:pPr>
        <w:keepNext w:val="0"/>
        <w:keepLines w:val="0"/>
        <w:pageBreakBefore w:val="0"/>
        <w:kinsoku/>
        <w:wordWrap/>
        <w:overflowPunct/>
        <w:topLinePunct w:val="0"/>
        <w:autoSpaceDE/>
        <w:autoSpaceDN/>
        <w:bidi w:val="0"/>
        <w:adjustRightInd w:val="0"/>
        <w:spacing w:line="560" w:lineRule="exact"/>
        <w:ind w:firstLine="643" w:firstLineChars="200"/>
        <w:textAlignment w:val="auto"/>
        <w:rPr>
          <w:rFonts w:hint="eastAsia" w:ascii="楷体" w:hAnsi="楷体" w:eastAsia="楷体" w:cs="楷体"/>
          <w:b/>
          <w:bCs/>
          <w:szCs w:val="32"/>
        </w:rPr>
      </w:pPr>
      <w:r>
        <w:rPr>
          <w:rFonts w:hint="eastAsia" w:ascii="楷体" w:hAnsi="楷体" w:eastAsia="楷体" w:cs="楷体"/>
          <w:b/>
          <w:bCs/>
          <w:szCs w:val="32"/>
          <w:lang w:eastAsia="zh-CN"/>
        </w:rPr>
        <w:t>（八）</w:t>
      </w:r>
      <w:r>
        <w:rPr>
          <w:rFonts w:hint="eastAsia" w:ascii="楷体" w:hAnsi="楷体" w:eastAsia="楷体" w:cs="楷体"/>
          <w:b/>
          <w:bCs/>
          <w:szCs w:val="32"/>
        </w:rPr>
        <w:t>教育教学成果材料</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hint="eastAsia" w:ascii="仿宋_GB2312" w:hAnsi="Calibri"/>
          <w:szCs w:val="32"/>
          <w:lang w:eastAsia="zh-CN"/>
        </w:rPr>
      </w:pPr>
      <w:r>
        <w:rPr>
          <w:rFonts w:hint="eastAsia" w:ascii="仿宋_GB2312" w:hAnsi="Calibri"/>
          <w:szCs w:val="32"/>
        </w:rPr>
        <w:t>全面梳理</w:t>
      </w:r>
      <w:r>
        <w:rPr>
          <w:rFonts w:hint="eastAsia" w:ascii="仿宋_GB2312" w:hAnsi="Calibri"/>
          <w:szCs w:val="32"/>
          <w:lang w:val="en-US" w:eastAsia="zh-CN"/>
        </w:rPr>
        <w:t>2018年（含）</w:t>
      </w:r>
      <w:r>
        <w:rPr>
          <w:rFonts w:hint="eastAsia" w:ascii="仿宋_GB2312" w:hAnsi="Calibri"/>
          <w:szCs w:val="32"/>
        </w:rPr>
        <w:t>以来的专业建设、课程建设、教材建设</w:t>
      </w:r>
      <w:r>
        <w:rPr>
          <w:rFonts w:hint="eastAsia" w:ascii="仿宋_GB2312" w:hAnsi="Calibri"/>
          <w:szCs w:val="32"/>
          <w:lang w:eastAsia="zh-CN"/>
        </w:rPr>
        <w:t>和教学改革</w:t>
      </w:r>
      <w:r>
        <w:rPr>
          <w:rFonts w:hint="eastAsia" w:ascii="仿宋_GB2312" w:hAnsi="Calibri"/>
          <w:szCs w:val="32"/>
        </w:rPr>
        <w:t>成果</w:t>
      </w:r>
      <w:r>
        <w:rPr>
          <w:rFonts w:hint="eastAsia" w:ascii="仿宋_GB2312" w:hAnsi="Calibri"/>
          <w:szCs w:val="32"/>
          <w:lang w:eastAsia="zh-CN"/>
        </w:rPr>
        <w:t>，</w:t>
      </w:r>
      <w:r>
        <w:rPr>
          <w:rFonts w:hint="eastAsia" w:ascii="仿宋_GB2312" w:hAnsi="Calibri"/>
          <w:szCs w:val="32"/>
        </w:rPr>
        <w:t>教师参与各类教学竞赛获奖</w:t>
      </w:r>
      <w:r>
        <w:rPr>
          <w:rFonts w:hint="eastAsia" w:ascii="仿宋_GB2312" w:hAnsi="Calibri"/>
          <w:szCs w:val="32"/>
          <w:lang w:eastAsia="zh-CN"/>
        </w:rPr>
        <w:t>情况，以及</w:t>
      </w:r>
      <w:r>
        <w:rPr>
          <w:rFonts w:hint="eastAsia" w:ascii="仿宋_GB2312" w:hAnsi="Calibri"/>
          <w:szCs w:val="32"/>
        </w:rPr>
        <w:t>学</w:t>
      </w:r>
      <w:r>
        <w:rPr>
          <w:rFonts w:hint="eastAsia" w:ascii="仿宋_GB2312" w:hAnsi="Calibri"/>
          <w:spacing w:val="-6"/>
          <w:szCs w:val="32"/>
        </w:rPr>
        <w:t>生发表论文、申请专利</w:t>
      </w:r>
      <w:r>
        <w:rPr>
          <w:rFonts w:hint="eastAsia" w:ascii="仿宋_GB2312" w:hAnsi="Calibri"/>
          <w:spacing w:val="-6"/>
          <w:szCs w:val="32"/>
          <w:lang w:eastAsia="zh-CN"/>
        </w:rPr>
        <w:t>、</w:t>
      </w:r>
      <w:r>
        <w:rPr>
          <w:rFonts w:hint="eastAsia" w:ascii="仿宋_GB2312" w:hAnsi="Calibri"/>
          <w:spacing w:val="-6"/>
          <w:szCs w:val="32"/>
        </w:rPr>
        <w:t>各类竞赛获奖等体现人才培养成效的材料</w:t>
      </w:r>
      <w:r>
        <w:rPr>
          <w:rFonts w:hint="eastAsia" w:ascii="仿宋_GB2312" w:hAnsi="Calibri"/>
          <w:spacing w:val="-6"/>
          <w:szCs w:val="32"/>
          <w:lang w:eastAsia="zh-CN"/>
        </w:rPr>
        <w:t>。</w:t>
      </w:r>
    </w:p>
    <w:p>
      <w:pPr>
        <w:keepNext w:val="0"/>
        <w:keepLines w:val="0"/>
        <w:pageBreakBefore w:val="0"/>
        <w:kinsoku/>
        <w:wordWrap/>
        <w:overflowPunct/>
        <w:topLinePunct w:val="0"/>
        <w:autoSpaceDE/>
        <w:autoSpaceDN/>
        <w:bidi w:val="0"/>
        <w:adjustRightInd w:val="0"/>
        <w:spacing w:line="560" w:lineRule="exact"/>
        <w:ind w:firstLine="640" w:firstLineChars="200"/>
        <w:textAlignment w:val="auto"/>
        <w:rPr>
          <w:rFonts w:ascii="仿宋_GB2312" w:hAnsi="Calibri"/>
          <w:szCs w:val="32"/>
          <w:lang w:val="en-US"/>
        </w:rPr>
      </w:pPr>
      <w:r>
        <w:rPr>
          <w:rFonts w:hint="eastAsia" w:ascii="仿宋_GB2312" w:hAnsi="Calibri"/>
          <w:szCs w:val="32"/>
        </w:rPr>
        <w:t>整理汇编</w:t>
      </w:r>
      <w:r>
        <w:rPr>
          <w:rFonts w:hint="eastAsia" w:ascii="仿宋_GB2312" w:hAnsi="Calibri"/>
          <w:szCs w:val="32"/>
          <w:lang w:val="en-US" w:eastAsia="zh-CN"/>
        </w:rPr>
        <w:t>5-10个</w:t>
      </w:r>
      <w:r>
        <w:rPr>
          <w:rFonts w:hint="eastAsia" w:ascii="仿宋_GB2312" w:hAnsi="Calibri"/>
          <w:szCs w:val="32"/>
        </w:rPr>
        <w:t>优秀毕业生案例</w:t>
      </w:r>
      <w:r>
        <w:rPr>
          <w:rFonts w:hint="eastAsia" w:ascii="仿宋_GB2312" w:hAnsi="Calibri"/>
          <w:szCs w:val="32"/>
          <w:lang w:eastAsia="zh-CN"/>
        </w:rPr>
        <w:t>，以</w:t>
      </w:r>
      <w:r>
        <w:rPr>
          <w:rFonts w:hint="eastAsia" w:ascii="仿宋_GB2312" w:hAnsi="Calibri"/>
          <w:szCs w:val="32"/>
          <w:lang w:val="en-US" w:eastAsia="zh-CN"/>
        </w:rPr>
        <w:t>2018届（含）以来的毕业生为主。</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566" w:firstLineChars="177"/>
        <w:textAlignment w:val="auto"/>
        <w:rPr>
          <w:rFonts w:hint="eastAsia" w:ascii="黑体" w:hAnsi="黑体" w:eastAsia="黑体" w:cs="黑体"/>
          <w:szCs w:val="32"/>
          <w:lang w:eastAsia="zh-CN"/>
        </w:rPr>
      </w:pPr>
      <w:r>
        <w:rPr>
          <w:rFonts w:hint="eastAsia" w:ascii="黑体" w:hAnsi="黑体" w:eastAsia="黑体" w:cs="黑体"/>
          <w:szCs w:val="32"/>
          <w:lang w:val="en-US" w:eastAsia="zh-CN"/>
        </w:rPr>
        <w:t>其他事项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Calibri" w:eastAsia="仿宋_GB2312"/>
          <w:szCs w:val="32"/>
          <w:lang w:val="en-US" w:eastAsia="zh-CN"/>
        </w:rPr>
      </w:pPr>
      <w:r>
        <w:rPr>
          <w:rFonts w:hint="eastAsia" w:ascii="仿宋_GB2312" w:hAnsi="Calibri"/>
          <w:szCs w:val="32"/>
          <w:lang w:val="en-US" w:eastAsia="zh-CN"/>
        </w:rPr>
        <w:t>1.学院（部）评建工作组应组织对重要教学档案的专项检查。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9"/>
        <w:rPr>
          <w:rFonts w:ascii="仿宋_GB2312" w:hAnsi="Calibri"/>
          <w:szCs w:val="32"/>
        </w:rPr>
      </w:pPr>
      <w:r>
        <w:rPr>
          <w:rFonts w:ascii="仿宋_GB2312" w:hAnsi="Calibri"/>
          <w:szCs w:val="32"/>
        </w:rPr>
        <w:t>2.</w:t>
      </w:r>
      <w:r>
        <w:rPr>
          <w:rFonts w:hint="eastAsia" w:ascii="仿宋_GB2312" w:hAnsi="Calibri"/>
          <w:szCs w:val="32"/>
        </w:rPr>
        <w:t>所有教育教学资料完成自查归档后保留在本院系备查</w:t>
      </w:r>
      <w:r>
        <w:rPr>
          <w:rFonts w:hint="eastAsia" w:ascii="仿宋_GB2312" w:hAnsi="Calibri"/>
          <w:szCs w:val="32"/>
          <w:lang w:eastAsia="zh-CN"/>
        </w:rPr>
        <w:t>，要求</w:t>
      </w:r>
      <w:r>
        <w:rPr>
          <w:rFonts w:hint="eastAsia" w:ascii="仿宋_GB2312" w:hAnsi="Calibri"/>
          <w:szCs w:val="32"/>
        </w:rPr>
        <w:t>编目清晰，存放整齐，便于查找。除</w:t>
      </w:r>
      <w:r>
        <w:rPr>
          <w:rFonts w:hint="eastAsia" w:ascii="仿宋_GB2312" w:hAnsi="Calibri"/>
          <w:szCs w:val="32"/>
          <w:lang w:eastAsia="zh-CN"/>
        </w:rPr>
        <w:t>教材与参考书目、</w:t>
      </w:r>
      <w:r>
        <w:rPr>
          <w:rFonts w:hint="eastAsia" w:ascii="仿宋_GB2312" w:hAnsi="Calibri"/>
          <w:szCs w:val="32"/>
        </w:rPr>
        <w:t>试卷</w:t>
      </w:r>
      <w:r>
        <w:rPr>
          <w:rFonts w:hint="eastAsia" w:ascii="仿宋_GB2312" w:hAnsi="Calibri"/>
          <w:szCs w:val="32"/>
          <w:highlight w:val="none"/>
        </w:rPr>
        <w:t>、</w:t>
      </w:r>
      <w:r>
        <w:rPr>
          <w:rFonts w:hint="eastAsia" w:ascii="仿宋_GB2312" w:hAnsi="Calibri"/>
          <w:szCs w:val="32"/>
          <w:highlight w:val="none"/>
          <w:lang w:eastAsia="zh-CN"/>
        </w:rPr>
        <w:t>实验报告、实习教学过程材料</w:t>
      </w:r>
      <w:r>
        <w:rPr>
          <w:rFonts w:hint="eastAsia" w:ascii="仿宋_GB2312" w:hAnsi="Calibri"/>
          <w:szCs w:val="32"/>
        </w:rPr>
        <w:t>等，现阶段所有教学文件原则上以电子版形式归档。</w:t>
      </w:r>
    </w:p>
    <w:sectPr>
      <w:footerReference r:id="rId5" w:type="first"/>
      <w:headerReference r:id="rId3" w:type="default"/>
      <w:footerReference r:id="rId4" w:type="default"/>
      <w:pgSz w:w="11906" w:h="16838"/>
      <w:pgMar w:top="1134" w:right="1558" w:bottom="1134" w:left="1418" w:header="851" w:footer="992" w:gutter="0"/>
      <w:cols w:space="720"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DE60A5-52DB-4D0A-913D-9DCD1351B81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FFABFD0-22FA-4321-AFD7-7C41A1F93125}"/>
  </w:font>
  <w:font w:name="仿宋_GB2312">
    <w:panose1 w:val="02010609030101010101"/>
    <w:charset w:val="86"/>
    <w:family w:val="modern"/>
    <w:pitch w:val="default"/>
    <w:sig w:usb0="00000001" w:usb1="080E0000" w:usb2="00000000" w:usb3="00000000" w:csb0="00040000" w:csb1="00000000"/>
    <w:embedRegular r:id="rId3" w:fontKey="{14C71108-ADE2-47F3-84F2-EBDD1AC26CC8}"/>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文鼎小标宋简">
    <w:altName w:val="微软雅黑"/>
    <w:panose1 w:val="02010609010101010101"/>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4" w:fontKey="{BB41BC31-F8E8-44AD-804A-97F0C9EE7040}"/>
  </w:font>
  <w:font w:name="楷体">
    <w:panose1 w:val="02010609060101010101"/>
    <w:charset w:val="86"/>
    <w:family w:val="auto"/>
    <w:pitch w:val="default"/>
    <w:sig w:usb0="800002BF" w:usb1="38CF7CFA" w:usb2="00000016" w:usb3="00000000" w:csb0="00040001" w:csb1="00000000"/>
    <w:embedRegular r:id="rId5" w:fontKey="{6CC5D55C-5F37-419A-9493-BC1E5A4B1FC5}"/>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5</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500AEA"/>
    <w:multiLevelType w:val="singleLevel"/>
    <w:tmpl w:val="AD500AE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0ODk1ODUyMDJiOWM2OGE0NTgwNWJlZjlkNDExOWQifQ=="/>
  </w:docVars>
  <w:rsids>
    <w:rsidRoot w:val="00597A3A"/>
    <w:rsid w:val="00012984"/>
    <w:rsid w:val="00026420"/>
    <w:rsid w:val="00046571"/>
    <w:rsid w:val="001564EF"/>
    <w:rsid w:val="0018290F"/>
    <w:rsid w:val="001916B8"/>
    <w:rsid w:val="001B499D"/>
    <w:rsid w:val="00281160"/>
    <w:rsid w:val="002A62EB"/>
    <w:rsid w:val="002B5F87"/>
    <w:rsid w:val="00310E5D"/>
    <w:rsid w:val="0035464F"/>
    <w:rsid w:val="003C2991"/>
    <w:rsid w:val="00430E19"/>
    <w:rsid w:val="00465935"/>
    <w:rsid w:val="0050054F"/>
    <w:rsid w:val="00506FF1"/>
    <w:rsid w:val="00597A3A"/>
    <w:rsid w:val="00657316"/>
    <w:rsid w:val="0067323A"/>
    <w:rsid w:val="007363B2"/>
    <w:rsid w:val="00794EAD"/>
    <w:rsid w:val="00795517"/>
    <w:rsid w:val="007F5048"/>
    <w:rsid w:val="007F5396"/>
    <w:rsid w:val="008A75CB"/>
    <w:rsid w:val="008C101D"/>
    <w:rsid w:val="008D5E37"/>
    <w:rsid w:val="00953660"/>
    <w:rsid w:val="00980CFB"/>
    <w:rsid w:val="009F75B9"/>
    <w:rsid w:val="00A72379"/>
    <w:rsid w:val="00A91BC9"/>
    <w:rsid w:val="00AE4238"/>
    <w:rsid w:val="00BB787E"/>
    <w:rsid w:val="00BD2319"/>
    <w:rsid w:val="00BE3051"/>
    <w:rsid w:val="00C07414"/>
    <w:rsid w:val="00C1030F"/>
    <w:rsid w:val="00C14300"/>
    <w:rsid w:val="00C80D5E"/>
    <w:rsid w:val="00CF181D"/>
    <w:rsid w:val="00D0433C"/>
    <w:rsid w:val="00D2128C"/>
    <w:rsid w:val="00D34877"/>
    <w:rsid w:val="00D72752"/>
    <w:rsid w:val="00D81E6C"/>
    <w:rsid w:val="00DA08C8"/>
    <w:rsid w:val="00DC3210"/>
    <w:rsid w:val="00DF1AE3"/>
    <w:rsid w:val="00E47257"/>
    <w:rsid w:val="00E81B8E"/>
    <w:rsid w:val="00EF5546"/>
    <w:rsid w:val="00F71FDA"/>
    <w:rsid w:val="00FE4CE0"/>
    <w:rsid w:val="00FE7A39"/>
    <w:rsid w:val="00FE7E9A"/>
    <w:rsid w:val="014050F6"/>
    <w:rsid w:val="01594B2F"/>
    <w:rsid w:val="02254AF9"/>
    <w:rsid w:val="03016D35"/>
    <w:rsid w:val="03122349"/>
    <w:rsid w:val="03C24CD6"/>
    <w:rsid w:val="04160A34"/>
    <w:rsid w:val="0457286E"/>
    <w:rsid w:val="05852075"/>
    <w:rsid w:val="06252154"/>
    <w:rsid w:val="06454F8A"/>
    <w:rsid w:val="066E5BC6"/>
    <w:rsid w:val="07866DA3"/>
    <w:rsid w:val="07BC6DD2"/>
    <w:rsid w:val="08D37ED9"/>
    <w:rsid w:val="094A4696"/>
    <w:rsid w:val="09EF7007"/>
    <w:rsid w:val="0A430665"/>
    <w:rsid w:val="0A537FA6"/>
    <w:rsid w:val="0B506FA0"/>
    <w:rsid w:val="0B903BAE"/>
    <w:rsid w:val="0CCB233E"/>
    <w:rsid w:val="0D3B333F"/>
    <w:rsid w:val="0D446FD8"/>
    <w:rsid w:val="0DC247E3"/>
    <w:rsid w:val="0EED334B"/>
    <w:rsid w:val="0F0B0DB0"/>
    <w:rsid w:val="101476D6"/>
    <w:rsid w:val="10326EF4"/>
    <w:rsid w:val="121645D8"/>
    <w:rsid w:val="12165D33"/>
    <w:rsid w:val="12764B97"/>
    <w:rsid w:val="134E6DEF"/>
    <w:rsid w:val="137C6FAF"/>
    <w:rsid w:val="14C02387"/>
    <w:rsid w:val="14FF608D"/>
    <w:rsid w:val="15EE7420"/>
    <w:rsid w:val="161D27F6"/>
    <w:rsid w:val="18A22930"/>
    <w:rsid w:val="18A913BB"/>
    <w:rsid w:val="18EE51DF"/>
    <w:rsid w:val="18FF4E51"/>
    <w:rsid w:val="193F375D"/>
    <w:rsid w:val="19D837D8"/>
    <w:rsid w:val="1A1D448D"/>
    <w:rsid w:val="1A3F6A32"/>
    <w:rsid w:val="1AEC1C38"/>
    <w:rsid w:val="1B0012B9"/>
    <w:rsid w:val="1B8029A8"/>
    <w:rsid w:val="1BB70E9F"/>
    <w:rsid w:val="1C243C12"/>
    <w:rsid w:val="1DC03F2F"/>
    <w:rsid w:val="1E350097"/>
    <w:rsid w:val="1E4229D8"/>
    <w:rsid w:val="1E4B6404"/>
    <w:rsid w:val="1FE877D8"/>
    <w:rsid w:val="2092154F"/>
    <w:rsid w:val="20F06D32"/>
    <w:rsid w:val="21092EBA"/>
    <w:rsid w:val="21477567"/>
    <w:rsid w:val="21790065"/>
    <w:rsid w:val="218A638B"/>
    <w:rsid w:val="2249479F"/>
    <w:rsid w:val="22741B3B"/>
    <w:rsid w:val="22820548"/>
    <w:rsid w:val="228253AC"/>
    <w:rsid w:val="230E4F5A"/>
    <w:rsid w:val="23250308"/>
    <w:rsid w:val="237E1408"/>
    <w:rsid w:val="2439122C"/>
    <w:rsid w:val="255F7E7B"/>
    <w:rsid w:val="26803173"/>
    <w:rsid w:val="268C083F"/>
    <w:rsid w:val="27AC759F"/>
    <w:rsid w:val="27BE1B41"/>
    <w:rsid w:val="283700C8"/>
    <w:rsid w:val="290466C9"/>
    <w:rsid w:val="29340EA1"/>
    <w:rsid w:val="29EF49FC"/>
    <w:rsid w:val="2AC81D41"/>
    <w:rsid w:val="2AF27834"/>
    <w:rsid w:val="2B8B6846"/>
    <w:rsid w:val="2B8E66B7"/>
    <w:rsid w:val="2C4A02D4"/>
    <w:rsid w:val="2CD94DE7"/>
    <w:rsid w:val="2CFA6443"/>
    <w:rsid w:val="2DE25DE2"/>
    <w:rsid w:val="2DE478D6"/>
    <w:rsid w:val="2F5D17D1"/>
    <w:rsid w:val="30161FF8"/>
    <w:rsid w:val="30F974DA"/>
    <w:rsid w:val="315F2201"/>
    <w:rsid w:val="31EB71A9"/>
    <w:rsid w:val="326E1339"/>
    <w:rsid w:val="33725B4C"/>
    <w:rsid w:val="344D147D"/>
    <w:rsid w:val="348A4925"/>
    <w:rsid w:val="354C38E0"/>
    <w:rsid w:val="36114B68"/>
    <w:rsid w:val="385B111A"/>
    <w:rsid w:val="387A1F56"/>
    <w:rsid w:val="38A2353F"/>
    <w:rsid w:val="38A757B1"/>
    <w:rsid w:val="39D43002"/>
    <w:rsid w:val="39D723CB"/>
    <w:rsid w:val="3AC24459"/>
    <w:rsid w:val="3B296CC2"/>
    <w:rsid w:val="3B7F5007"/>
    <w:rsid w:val="3BDC2CA3"/>
    <w:rsid w:val="3C7F17BE"/>
    <w:rsid w:val="3D6D1CD5"/>
    <w:rsid w:val="3DBC4233"/>
    <w:rsid w:val="3E0E5FDB"/>
    <w:rsid w:val="3ECF5426"/>
    <w:rsid w:val="3EDB051D"/>
    <w:rsid w:val="3F06070B"/>
    <w:rsid w:val="3F09425C"/>
    <w:rsid w:val="3F2B66F0"/>
    <w:rsid w:val="3F92324A"/>
    <w:rsid w:val="3FDC428A"/>
    <w:rsid w:val="4104786F"/>
    <w:rsid w:val="4131677E"/>
    <w:rsid w:val="41A44AD3"/>
    <w:rsid w:val="41C258A9"/>
    <w:rsid w:val="42161635"/>
    <w:rsid w:val="429715BE"/>
    <w:rsid w:val="42B11F3B"/>
    <w:rsid w:val="42F61526"/>
    <w:rsid w:val="437735CC"/>
    <w:rsid w:val="43B80891"/>
    <w:rsid w:val="43E52156"/>
    <w:rsid w:val="44774C1F"/>
    <w:rsid w:val="44F33974"/>
    <w:rsid w:val="46876C7B"/>
    <w:rsid w:val="469D56B1"/>
    <w:rsid w:val="46C339AA"/>
    <w:rsid w:val="47A73950"/>
    <w:rsid w:val="485E12FF"/>
    <w:rsid w:val="490801F0"/>
    <w:rsid w:val="49C34709"/>
    <w:rsid w:val="49C5081B"/>
    <w:rsid w:val="49F9052F"/>
    <w:rsid w:val="4A7E41EB"/>
    <w:rsid w:val="4A9E7B3C"/>
    <w:rsid w:val="4C5863C0"/>
    <w:rsid w:val="4D6D29E5"/>
    <w:rsid w:val="4D96752E"/>
    <w:rsid w:val="4DB23EED"/>
    <w:rsid w:val="4DCB2672"/>
    <w:rsid w:val="4DF05346"/>
    <w:rsid w:val="4E313861"/>
    <w:rsid w:val="4ECF2903"/>
    <w:rsid w:val="4F123059"/>
    <w:rsid w:val="4FD41EEF"/>
    <w:rsid w:val="50593E89"/>
    <w:rsid w:val="50C723A3"/>
    <w:rsid w:val="50D4347D"/>
    <w:rsid w:val="51E97BC3"/>
    <w:rsid w:val="52A87070"/>
    <w:rsid w:val="53163012"/>
    <w:rsid w:val="5342771F"/>
    <w:rsid w:val="534844CB"/>
    <w:rsid w:val="536849B2"/>
    <w:rsid w:val="53A318DC"/>
    <w:rsid w:val="549C377F"/>
    <w:rsid w:val="54EA417E"/>
    <w:rsid w:val="55597288"/>
    <w:rsid w:val="55B442A2"/>
    <w:rsid w:val="564B62C9"/>
    <w:rsid w:val="56F5526C"/>
    <w:rsid w:val="576131AC"/>
    <w:rsid w:val="57E47FA1"/>
    <w:rsid w:val="580946AD"/>
    <w:rsid w:val="583011B3"/>
    <w:rsid w:val="583B01F4"/>
    <w:rsid w:val="58C60BBB"/>
    <w:rsid w:val="5A363E91"/>
    <w:rsid w:val="5A736BAA"/>
    <w:rsid w:val="5DAD3733"/>
    <w:rsid w:val="5DBA6852"/>
    <w:rsid w:val="5DE6619C"/>
    <w:rsid w:val="5E446B26"/>
    <w:rsid w:val="5F5E5F02"/>
    <w:rsid w:val="5FF328A6"/>
    <w:rsid w:val="602E65DE"/>
    <w:rsid w:val="60702C5A"/>
    <w:rsid w:val="60B100A9"/>
    <w:rsid w:val="60CF6F4F"/>
    <w:rsid w:val="614F389B"/>
    <w:rsid w:val="6190515E"/>
    <w:rsid w:val="61CA476B"/>
    <w:rsid w:val="620B5D28"/>
    <w:rsid w:val="622C49FA"/>
    <w:rsid w:val="63E07450"/>
    <w:rsid w:val="646E0487"/>
    <w:rsid w:val="64CA5B98"/>
    <w:rsid w:val="64FE713C"/>
    <w:rsid w:val="65ED5BA0"/>
    <w:rsid w:val="66120907"/>
    <w:rsid w:val="67246AFD"/>
    <w:rsid w:val="680E5D98"/>
    <w:rsid w:val="684F2196"/>
    <w:rsid w:val="69252C4C"/>
    <w:rsid w:val="6A39332A"/>
    <w:rsid w:val="6B650BE9"/>
    <w:rsid w:val="6C2951B4"/>
    <w:rsid w:val="6C3F5C0D"/>
    <w:rsid w:val="6C854746"/>
    <w:rsid w:val="6D4165DE"/>
    <w:rsid w:val="6D5667CA"/>
    <w:rsid w:val="6DBD14FE"/>
    <w:rsid w:val="6E28561D"/>
    <w:rsid w:val="6EA15193"/>
    <w:rsid w:val="6F9C5BC4"/>
    <w:rsid w:val="6FDF0753"/>
    <w:rsid w:val="70FC6FE0"/>
    <w:rsid w:val="711B03DB"/>
    <w:rsid w:val="716E22AE"/>
    <w:rsid w:val="71A47B9D"/>
    <w:rsid w:val="71F05A14"/>
    <w:rsid w:val="74AF596B"/>
    <w:rsid w:val="751229FB"/>
    <w:rsid w:val="76183C60"/>
    <w:rsid w:val="768A2C77"/>
    <w:rsid w:val="76A827B2"/>
    <w:rsid w:val="7747343A"/>
    <w:rsid w:val="77766DC1"/>
    <w:rsid w:val="77BA5BA7"/>
    <w:rsid w:val="7852729B"/>
    <w:rsid w:val="786C464B"/>
    <w:rsid w:val="78CC1E2C"/>
    <w:rsid w:val="796D6CCA"/>
    <w:rsid w:val="7A082F22"/>
    <w:rsid w:val="7A2F795F"/>
    <w:rsid w:val="7ABD71E1"/>
    <w:rsid w:val="7AF63C91"/>
    <w:rsid w:val="7B7C6558"/>
    <w:rsid w:val="7BAE3D1E"/>
    <w:rsid w:val="7D110F42"/>
    <w:rsid w:val="7EB64824"/>
    <w:rsid w:val="7EDD4509"/>
    <w:rsid w:val="7EF020F1"/>
    <w:rsid w:val="7FB65F4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40" w:lineRule="exact"/>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2"/>
    <w:qFormat/>
    <w:uiPriority w:val="0"/>
    <w:pPr>
      <w:widowControl/>
      <w:spacing w:line="240" w:lineRule="auto"/>
      <w:ind w:firstLine="708" w:firstLineChars="236"/>
      <w:jc w:val="left"/>
      <w:outlineLvl w:val="1"/>
    </w:pPr>
    <w:rPr>
      <w:rFonts w:ascii="微软雅黑" w:hAnsi="微软雅黑" w:eastAsia="微软雅黑" w:cs="宋体"/>
      <w:b/>
      <w:bCs/>
      <w:kern w:val="0"/>
      <w:sz w:val="30"/>
      <w:szCs w:val="30"/>
    </w:rPr>
  </w:style>
  <w:style w:type="paragraph" w:styleId="4">
    <w:name w:val="heading 3"/>
    <w:basedOn w:val="1"/>
    <w:next w:val="1"/>
    <w:qFormat/>
    <w:uiPriority w:val="9"/>
    <w:pPr>
      <w:keepNext/>
      <w:keepLines/>
      <w:spacing w:before="260" w:beforeLines="0" w:beforeAutospacing="0" w:after="260" w:afterLines="0" w:afterAutospacing="0" w:line="413" w:lineRule="auto"/>
      <w:outlineLvl w:val="2"/>
    </w:pPr>
    <w:rPr>
      <w:b/>
      <w:sz w:val="32"/>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5">
    <w:name w:val="Date"/>
    <w:basedOn w:val="1"/>
    <w:next w:val="1"/>
    <w:link w:val="13"/>
    <w:unhideWhenUsed/>
    <w:qFormat/>
    <w:uiPriority w:val="99"/>
    <w:pPr>
      <w:ind w:left="100" w:leftChars="2500"/>
    </w:pPr>
  </w:style>
  <w:style w:type="paragraph" w:styleId="6">
    <w:name w:val="footer"/>
    <w:basedOn w:val="1"/>
    <w:link w:val="14"/>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sz w:val="18"/>
      <w:szCs w:val="18"/>
    </w:rPr>
  </w:style>
  <w:style w:type="paragraph" w:styleId="8">
    <w:name w:val="Title"/>
    <w:basedOn w:val="1"/>
    <w:next w:val="1"/>
    <w:link w:val="16"/>
    <w:qFormat/>
    <w:uiPriority w:val="10"/>
    <w:pPr>
      <w:spacing w:line="640" w:lineRule="exact"/>
      <w:jc w:val="center"/>
      <w:outlineLvl w:val="0"/>
    </w:pPr>
    <w:rPr>
      <w:rFonts w:ascii="Cambria" w:hAnsi="Cambria" w:eastAsia="文鼎小标宋简" w:cs="Times New Roman"/>
      <w:bCs/>
      <w:sz w:val="44"/>
      <w:szCs w:val="3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标题 2 字符"/>
    <w:link w:val="3"/>
    <w:qFormat/>
    <w:uiPriority w:val="0"/>
    <w:rPr>
      <w:rFonts w:ascii="微软雅黑" w:hAnsi="微软雅黑" w:eastAsia="微软雅黑" w:cs="宋体"/>
      <w:b/>
      <w:bCs/>
      <w:sz w:val="30"/>
      <w:szCs w:val="30"/>
    </w:rPr>
  </w:style>
  <w:style w:type="character" w:customStyle="1" w:styleId="13">
    <w:name w:val="日期 字符"/>
    <w:link w:val="5"/>
    <w:semiHidden/>
    <w:qFormat/>
    <w:uiPriority w:val="99"/>
    <w:rPr>
      <w:rFonts w:eastAsia="仿宋_GB2312"/>
      <w:kern w:val="2"/>
      <w:sz w:val="32"/>
      <w:szCs w:val="22"/>
    </w:rPr>
  </w:style>
  <w:style w:type="character" w:customStyle="1" w:styleId="14">
    <w:name w:val="页脚 字符"/>
    <w:link w:val="6"/>
    <w:qFormat/>
    <w:uiPriority w:val="99"/>
    <w:rPr>
      <w:rFonts w:eastAsia="仿宋_GB2312"/>
      <w:kern w:val="2"/>
      <w:sz w:val="18"/>
      <w:szCs w:val="18"/>
    </w:rPr>
  </w:style>
  <w:style w:type="character" w:customStyle="1" w:styleId="15">
    <w:name w:val="页眉 字符"/>
    <w:link w:val="7"/>
    <w:qFormat/>
    <w:uiPriority w:val="0"/>
    <w:rPr>
      <w:rFonts w:ascii="Times New Roman" w:hAnsi="Times New Roman" w:eastAsia="宋体" w:cs="Times New Roman"/>
      <w:sz w:val="18"/>
      <w:szCs w:val="18"/>
    </w:rPr>
  </w:style>
  <w:style w:type="character" w:customStyle="1" w:styleId="16">
    <w:name w:val="标题 字符"/>
    <w:link w:val="8"/>
    <w:qFormat/>
    <w:uiPriority w:val="10"/>
    <w:rPr>
      <w:rFonts w:ascii="Cambria" w:hAnsi="Cambria" w:eastAsia="文鼎小标宋简" w:cs="Times New Roman"/>
      <w:bCs/>
      <w:sz w:val="44"/>
      <w:szCs w:val="32"/>
    </w:rPr>
  </w:style>
  <w:style w:type="table" w:customStyle="1" w:styleId="17">
    <w:name w:val="网格型1"/>
    <w:basedOn w:val="10"/>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2907</Words>
  <Characters>2958</Characters>
  <Lines>22</Lines>
  <Paragraphs>6</Paragraphs>
  <TotalTime>22</TotalTime>
  <ScaleCrop>false</ScaleCrop>
  <LinksUpToDate>false</LinksUpToDate>
  <CharactersWithSpaces>2966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2023-10-15T09:49:00Z</dcterms:created>
  <dc:creator>陈慧</dc:creator>
  <cp:lastModifiedBy>THTF</cp:lastModifiedBy>
  <cp:lastPrinted>2024-12-31T06:51:38Z</cp:lastPrinted>
  <dcterms:modified xsi:type="dcterms:W3CDTF">2024-12-31T08:36:58Z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D12415E113494EA784A8B82E2C98D414_13</vt:lpwstr>
  </property>
</Properties>
</file>