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eastAsia="黑体"/>
          <w:bCs/>
          <w:szCs w:val="32"/>
        </w:rPr>
      </w:pPr>
      <w:r>
        <w:rPr>
          <w:rFonts w:eastAsia="黑体"/>
          <w:bCs/>
          <w:szCs w:val="32"/>
        </w:rPr>
        <w:t xml:space="preserve">附件2 </w:t>
      </w:r>
    </w:p>
    <w:p>
      <w:pPr>
        <w:adjustRightInd w:val="0"/>
        <w:snapToGrid w:val="0"/>
        <w:spacing w:line="360" w:lineRule="auto"/>
        <w:jc w:val="both"/>
        <w:rPr>
          <w:rFonts w:ascii="微软雅黑" w:hAnsi="Calibri" w:eastAsia="微软雅黑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暨南大学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XX学院（部）</w:t>
      </w:r>
    </w:p>
    <w:p>
      <w:pPr>
        <w:pStyle w:val="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本科教育教学审核评估自评总结</w:t>
      </w: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ascii="仿宋_GB2312" w:hAnsi="Calibri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hint="eastAsia" w:ascii="仿宋_GB2312" w:hAnsi="Calibri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hint="eastAsia" w:ascii="仿宋_GB2312" w:hAnsi="Calibri" w:eastAsia="仿宋_GB2312"/>
          <w:szCs w:val="32"/>
          <w:lang w:val="en-US" w:eastAsia="zh-CN"/>
        </w:rPr>
      </w:pP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hint="eastAsia" w:ascii="仿宋_GB2312" w:hAnsi="Calibri" w:eastAsia="仿宋_GB2312"/>
          <w:szCs w:val="32"/>
          <w:lang w:val="en-US" w:eastAsia="zh-CN"/>
        </w:rPr>
      </w:pP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hint="eastAsia" w:ascii="仿宋_GB2312" w:hAnsi="Calibri" w:eastAsia="仿宋_GB2312"/>
          <w:szCs w:val="32"/>
          <w:lang w:val="en-US" w:eastAsia="zh-CN"/>
        </w:rPr>
      </w:pPr>
    </w:p>
    <w:p>
      <w:pPr>
        <w:adjustRightInd w:val="0"/>
        <w:snapToGrid w:val="0"/>
        <w:spacing w:line="360" w:lineRule="auto"/>
        <w:ind w:firstLine="640" w:firstLineChars="200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hint="eastAsia" w:ascii="仿宋_GB2312" w:hAnsi="Calibri"/>
          <w:szCs w:val="32"/>
        </w:rPr>
      </w:pPr>
    </w:p>
    <w:p>
      <w:pPr>
        <w:adjustRightInd w:val="0"/>
        <w:snapToGrid w:val="0"/>
        <w:spacing w:line="360" w:lineRule="auto"/>
        <w:ind w:firstLine="960" w:firstLineChars="300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  <w:r>
        <w:rPr>
          <w:rFonts w:hint="eastAsia" w:ascii="仿宋_GB2312" w:hAnsi="Calibri"/>
          <w:szCs w:val="32"/>
          <w:lang w:eastAsia="zh-CN"/>
        </w:rPr>
        <w:t>学院（部）（盖章）：</w:t>
      </w:r>
      <w:r>
        <w:rPr>
          <w:rFonts w:hint="eastAsia" w:ascii="仿宋_GB2312" w:hAnsi="Calibri"/>
          <w:szCs w:val="32"/>
          <w:u w:val="single"/>
          <w:lang w:val="en-US" w:eastAsia="zh-CN"/>
        </w:rPr>
        <w:t xml:space="preserve">              </w:t>
      </w:r>
    </w:p>
    <w:p>
      <w:pPr>
        <w:adjustRightInd w:val="0"/>
        <w:snapToGrid w:val="0"/>
        <w:spacing w:line="360" w:lineRule="auto"/>
        <w:ind w:firstLine="1600" w:firstLineChars="500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  <w:r>
        <w:rPr>
          <w:rFonts w:hint="eastAsia" w:ascii="仿宋_GB2312" w:hAnsi="Calibri"/>
          <w:szCs w:val="32"/>
          <w:lang w:eastAsia="zh-CN"/>
        </w:rPr>
        <w:t>评建工作组组长：</w:t>
      </w:r>
      <w:r>
        <w:rPr>
          <w:rFonts w:hint="eastAsia" w:ascii="仿宋_GB2312" w:hAnsi="Calibri"/>
          <w:szCs w:val="32"/>
          <w:u w:val="single"/>
          <w:lang w:val="en-US" w:eastAsia="zh-CN"/>
        </w:rPr>
        <w:t xml:space="preserve">              </w:t>
      </w:r>
    </w:p>
    <w:p>
      <w:pPr>
        <w:adjustRightInd w:val="0"/>
        <w:snapToGrid w:val="0"/>
        <w:spacing w:line="360" w:lineRule="auto"/>
        <w:ind w:firstLine="1600" w:firstLineChars="500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</w:p>
    <w:p>
      <w:pPr>
        <w:adjustRightInd w:val="0"/>
        <w:snapToGrid w:val="0"/>
        <w:spacing w:line="360" w:lineRule="auto"/>
        <w:ind w:firstLine="1600" w:firstLineChars="500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</w:p>
    <w:p>
      <w:pPr>
        <w:adjustRightInd w:val="0"/>
        <w:snapToGrid w:val="0"/>
        <w:spacing w:line="360" w:lineRule="auto"/>
        <w:ind w:firstLine="1600" w:firstLineChars="500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</w:p>
    <w:p>
      <w:pPr>
        <w:adjustRightInd w:val="0"/>
        <w:snapToGrid w:val="0"/>
        <w:spacing w:line="360" w:lineRule="auto"/>
        <w:ind w:firstLine="1600" w:firstLineChars="500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</w:p>
    <w:p>
      <w:pPr>
        <w:adjustRightInd w:val="0"/>
        <w:snapToGrid w:val="0"/>
        <w:spacing w:line="360" w:lineRule="auto"/>
        <w:ind w:firstLine="1600" w:firstLineChars="500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 w:ascii="仿宋_GB2312" w:hAnsi="Calibri"/>
          <w:szCs w:val="32"/>
          <w:u w:val="single"/>
          <w:lang w:val="en-US" w:eastAsia="zh-CN"/>
        </w:rPr>
      </w:pPr>
    </w:p>
    <w:p>
      <w:pPr>
        <w:pStyle w:val="3"/>
        <w:ind w:left="0" w:leftChars="0" w:firstLine="0" w:firstLineChars="0"/>
        <w:jc w:val="center"/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  <w:lang w:val="en-US" w:eastAsia="zh-CN" w:bidi="ar-SA"/>
        </w:rPr>
        <w:sectPr>
          <w:headerReference r:id="rId3" w:type="default"/>
          <w:pgSz w:w="11906" w:h="16838"/>
          <w:pgMar w:top="1134" w:right="1558" w:bottom="1134" w:left="1418" w:header="851" w:footer="992" w:gutter="0"/>
          <w:cols w:space="720" w:num="1"/>
          <w:titlePg/>
          <w:docGrid w:type="lines" w:linePitch="435" w:charSpace="0"/>
        </w:sect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  <w:lang w:val="en-US" w:eastAsia="zh-CN" w:bidi="ar-SA"/>
        </w:rPr>
        <w:t>2025年  月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撰写说明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1.对照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《普通高等学校本科教育教学审核评估指标体系》一级指标、二级指标和审核重点，参照提纲撰写自评总结。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自评总结要求有理有据，既有总体情况介绍，也有具体做法和数据支撑。正文（不含附录）篇幅应不少于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6000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字，其中，存在的问题、原因分析以及改进措施不少于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1000字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sectPr>
          <w:footerReference r:id="rId5" w:type="first"/>
          <w:footerReference r:id="rId4" w:type="default"/>
          <w:pgSz w:w="11906" w:h="16838"/>
          <w:pgMar w:top="1134" w:right="1558" w:bottom="1134" w:left="1418" w:header="851" w:footer="992" w:gutter="0"/>
          <w:pgNumType w:start="1"/>
          <w:cols w:space="720" w:num="1"/>
          <w:docGrid w:type="lines" w:linePitch="435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3.自评问题清单、支撑材料目录和本科人才培养特色案例应作为自评总结附录列出。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一、学院概况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（不超过8</w:t>
      </w:r>
      <w:bookmarkStart w:id="1" w:name="_GoBack"/>
      <w:bookmarkEnd w:id="1"/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00字）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简要说明学院（部）基本情况，专业设置、师资队伍，办学</w:t>
      </w:r>
      <w:r>
        <w:rPr>
          <w:rFonts w:hint="eastAsia" w:ascii="仿宋_GB2312" w:hAnsi="Calibri"/>
          <w:sz w:val="32"/>
          <w:szCs w:val="32"/>
          <w:lang w:eastAsia="zh-CN"/>
        </w:rPr>
        <w:t>特色</w:t>
      </w:r>
      <w:r>
        <w:rPr>
          <w:rFonts w:hint="eastAsia" w:ascii="仿宋_GB2312" w:hAnsi="Calibri"/>
          <w:sz w:val="32"/>
          <w:szCs w:val="32"/>
        </w:rPr>
        <w:t>等。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二、立德树人与本科地位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学院落实立德树人根本任务情况，三全育人工作机制及成效、党的领导与思政教育、学院落实本科地位情况等。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参照</w:t>
      </w:r>
      <w:r>
        <w:rPr>
          <w:rFonts w:hint="eastAsia" w:ascii="仿宋_GB2312" w:hAnsi="Calibri"/>
          <w:sz w:val="32"/>
          <w:szCs w:val="32"/>
          <w:lang w:eastAsia="zh-CN"/>
        </w:rPr>
        <w:t>指标体系</w:t>
      </w:r>
      <w:r>
        <w:rPr>
          <w:rFonts w:hint="eastAsia" w:ascii="仿宋_GB2312" w:hAnsi="Calibri"/>
          <w:sz w:val="32"/>
          <w:szCs w:val="32"/>
        </w:rPr>
        <w:t>“</w:t>
      </w:r>
      <w:r>
        <w:rPr>
          <w:rFonts w:hint="eastAsia" w:ascii="仿宋_GB2312" w:hAnsi="Calibri"/>
          <w:b/>
          <w:bCs/>
          <w:sz w:val="32"/>
          <w:szCs w:val="32"/>
        </w:rPr>
        <w:t>1.办学方向与本科地位</w:t>
      </w:r>
      <w:r>
        <w:rPr>
          <w:rFonts w:hint="eastAsia" w:ascii="仿宋_GB2312" w:hAnsi="Calibri"/>
          <w:sz w:val="32"/>
          <w:szCs w:val="32"/>
        </w:rPr>
        <w:t>”</w:t>
      </w:r>
      <w:r>
        <w:rPr>
          <w:rFonts w:hint="eastAsia" w:ascii="仿宋_GB2312" w:hAnsi="Calibri"/>
          <w:sz w:val="32"/>
          <w:szCs w:val="32"/>
          <w:lang w:eastAsia="zh-CN"/>
        </w:rPr>
        <w:t>的审核重点进行</w:t>
      </w:r>
      <w:r>
        <w:rPr>
          <w:rFonts w:hint="eastAsia" w:ascii="仿宋_GB2312" w:hAnsi="Calibri"/>
          <w:sz w:val="32"/>
          <w:szCs w:val="32"/>
        </w:rPr>
        <w:t>阐述。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三、培养过程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学院生源情况、培养方案制</w:t>
      </w:r>
      <w:r>
        <w:rPr>
          <w:rFonts w:hint="eastAsia" w:ascii="仿宋_GB2312" w:hAnsi="Calibri"/>
          <w:sz w:val="32"/>
          <w:szCs w:val="32"/>
          <w:lang w:eastAsia="zh-CN"/>
        </w:rPr>
        <w:t>（修）</w:t>
      </w:r>
      <w:r>
        <w:rPr>
          <w:rFonts w:hint="eastAsia" w:ascii="仿宋_GB2312" w:hAnsi="Calibri"/>
          <w:sz w:val="32"/>
          <w:szCs w:val="32"/>
        </w:rPr>
        <w:t>订、专业建设、课程建设与课堂教学、教育教学改革、实践教学、教材选用、创新创业教育、</w:t>
      </w:r>
      <w:r>
        <w:rPr>
          <w:rFonts w:hint="eastAsia" w:ascii="仿宋_GB2312" w:hAnsi="Calibri"/>
          <w:sz w:val="32"/>
          <w:szCs w:val="32"/>
          <w:lang w:eastAsia="zh-CN"/>
        </w:rPr>
        <w:t>体育美育劳动教育</w:t>
      </w:r>
      <w:r>
        <w:rPr>
          <w:rFonts w:hint="eastAsia" w:ascii="仿宋_GB2312" w:hAnsi="Calibri"/>
          <w:sz w:val="32"/>
          <w:szCs w:val="32"/>
        </w:rPr>
        <w:t>，高层次科研成果与平台在本科人才培养中的作用，培养目标达成等情况。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参照指标</w:t>
      </w:r>
      <w:r>
        <w:rPr>
          <w:rFonts w:hint="eastAsia" w:ascii="仿宋_GB2312" w:hAnsi="Calibri"/>
          <w:sz w:val="32"/>
          <w:szCs w:val="32"/>
          <w:lang w:eastAsia="zh-CN"/>
        </w:rPr>
        <w:t>体系</w:t>
      </w:r>
      <w:r>
        <w:rPr>
          <w:rFonts w:hint="eastAsia" w:ascii="仿宋_GB2312" w:hAnsi="Calibri"/>
          <w:b w:val="0"/>
          <w:bCs w:val="0"/>
          <w:sz w:val="32"/>
          <w:szCs w:val="32"/>
        </w:rPr>
        <w:t>“</w:t>
      </w:r>
      <w:r>
        <w:rPr>
          <w:rFonts w:hint="eastAsia" w:ascii="仿宋_GB2312" w:hAnsi="Calibri"/>
          <w:b/>
          <w:bCs/>
          <w:sz w:val="32"/>
          <w:szCs w:val="32"/>
        </w:rPr>
        <w:t>2</w:t>
      </w:r>
      <w:r>
        <w:rPr>
          <w:rFonts w:ascii="仿宋_GB2312" w:hAnsi="Calibri"/>
          <w:b/>
          <w:bCs/>
          <w:sz w:val="32"/>
          <w:szCs w:val="32"/>
        </w:rPr>
        <w:t>.</w:t>
      </w:r>
      <w:r>
        <w:rPr>
          <w:rFonts w:hint="eastAsia" w:ascii="仿宋_GB2312" w:hAnsi="Calibri"/>
          <w:b/>
          <w:bCs/>
          <w:sz w:val="32"/>
          <w:szCs w:val="32"/>
        </w:rPr>
        <w:t>培养过程</w:t>
      </w:r>
      <w:r>
        <w:rPr>
          <w:rFonts w:hint="eastAsia" w:ascii="仿宋_GB2312" w:hAnsi="Calibri"/>
          <w:b w:val="0"/>
          <w:bCs w:val="0"/>
          <w:sz w:val="32"/>
          <w:szCs w:val="32"/>
          <w:lang w:eastAsia="zh-CN"/>
        </w:rPr>
        <w:t>”</w:t>
      </w:r>
      <w:r>
        <w:rPr>
          <w:rFonts w:hint="eastAsia" w:ascii="仿宋_GB2312" w:hAnsi="Calibri"/>
          <w:sz w:val="32"/>
          <w:szCs w:val="32"/>
          <w:lang w:eastAsia="zh-CN"/>
        </w:rPr>
        <w:t>和</w:t>
      </w:r>
      <w:r>
        <w:rPr>
          <w:rFonts w:hint="eastAsia" w:ascii="仿宋_GB2312" w:hAnsi="Calibri"/>
          <w:b w:val="0"/>
          <w:bCs w:val="0"/>
          <w:sz w:val="32"/>
          <w:szCs w:val="32"/>
          <w:lang w:eastAsia="zh-CN"/>
        </w:rPr>
        <w:t>“</w:t>
      </w:r>
      <w:r>
        <w:rPr>
          <w:rFonts w:hint="eastAsia" w:ascii="仿宋_GB2312" w:hAnsi="Calibri"/>
          <w:b/>
          <w:bCs/>
          <w:sz w:val="32"/>
          <w:szCs w:val="32"/>
          <w:lang w:val="en-US" w:eastAsia="zh-CN"/>
        </w:rPr>
        <w:t>7.</w:t>
      </w:r>
      <w:r>
        <w:rPr>
          <w:rFonts w:hint="eastAsia" w:ascii="仿宋_GB2312" w:hAnsi="Calibri"/>
          <w:b/>
          <w:bCs/>
          <w:sz w:val="32"/>
          <w:szCs w:val="32"/>
        </w:rPr>
        <w:t>教学成效</w:t>
      </w:r>
      <w:r>
        <w:rPr>
          <w:rFonts w:hint="eastAsia" w:ascii="仿宋_GB2312" w:hAnsi="Calibri"/>
          <w:b w:val="0"/>
          <w:bCs w:val="0"/>
          <w:sz w:val="32"/>
          <w:szCs w:val="32"/>
        </w:rPr>
        <w:t>”</w:t>
      </w:r>
      <w:r>
        <w:rPr>
          <w:rFonts w:hint="eastAsia" w:ascii="仿宋_GB2312" w:hAnsi="Calibri"/>
          <w:sz w:val="32"/>
          <w:szCs w:val="32"/>
          <w:lang w:eastAsia="zh-CN"/>
        </w:rPr>
        <w:t>的审核重点进行阐述</w:t>
      </w:r>
      <w:r>
        <w:rPr>
          <w:rFonts w:hint="eastAsia" w:ascii="仿宋_GB2312" w:hAnsi="Calibri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教师队伍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包括师德师风</w:t>
      </w:r>
      <w:r>
        <w:rPr>
          <w:rFonts w:hint="eastAsia" w:ascii="仿宋_GB2312" w:hAnsi="Calibri"/>
          <w:sz w:val="32"/>
          <w:szCs w:val="32"/>
          <w:lang w:eastAsia="zh-CN"/>
        </w:rPr>
        <w:t>、</w:t>
      </w:r>
      <w:r>
        <w:rPr>
          <w:rFonts w:hint="eastAsia" w:ascii="仿宋_GB2312" w:hAnsi="Calibri"/>
          <w:sz w:val="32"/>
          <w:szCs w:val="32"/>
        </w:rPr>
        <w:t>专业师资队伍结构、师资队伍建设、教师发展、</w:t>
      </w:r>
      <w:r>
        <w:rPr>
          <w:rFonts w:hint="eastAsia" w:ascii="仿宋_GB2312" w:hAnsi="Calibri"/>
          <w:sz w:val="32"/>
          <w:szCs w:val="32"/>
          <w:lang w:eastAsia="zh-CN"/>
        </w:rPr>
        <w:t>教授为本科生授课、</w:t>
      </w:r>
      <w:r>
        <w:rPr>
          <w:rFonts w:hint="eastAsia" w:ascii="仿宋_GB2312" w:hAnsi="Calibri"/>
          <w:sz w:val="32"/>
          <w:szCs w:val="32"/>
        </w:rPr>
        <w:t>高层次人才参与本科教育教学情况等。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参照指标</w:t>
      </w:r>
      <w:r>
        <w:rPr>
          <w:rFonts w:hint="eastAsia" w:ascii="仿宋_GB2312" w:hAnsi="Calibri"/>
          <w:sz w:val="32"/>
          <w:szCs w:val="32"/>
          <w:lang w:eastAsia="zh-CN"/>
        </w:rPr>
        <w:t>体系</w:t>
      </w:r>
      <w:r>
        <w:rPr>
          <w:rFonts w:hint="eastAsia" w:ascii="仿宋_GB2312" w:hAnsi="Calibri"/>
          <w:sz w:val="32"/>
          <w:szCs w:val="32"/>
        </w:rPr>
        <w:t>“</w:t>
      </w:r>
      <w:r>
        <w:rPr>
          <w:rFonts w:hint="eastAsia" w:ascii="仿宋_GB2312" w:hAnsi="Calibri"/>
          <w:b/>
          <w:bCs/>
          <w:sz w:val="32"/>
          <w:szCs w:val="32"/>
        </w:rPr>
        <w:t>4.教师队伍</w:t>
      </w:r>
      <w:r>
        <w:rPr>
          <w:rFonts w:hint="eastAsia" w:ascii="仿宋_GB2312" w:hAnsi="Calibri"/>
          <w:sz w:val="32"/>
          <w:szCs w:val="32"/>
        </w:rPr>
        <w:t>”</w:t>
      </w:r>
      <w:r>
        <w:rPr>
          <w:rFonts w:hint="eastAsia" w:ascii="仿宋_GB2312" w:hAnsi="Calibri"/>
          <w:sz w:val="32"/>
          <w:szCs w:val="32"/>
          <w:lang w:eastAsia="zh-CN"/>
        </w:rPr>
        <w:t>的审核重点进行阐述</w:t>
      </w:r>
      <w:r>
        <w:rPr>
          <w:rFonts w:hint="eastAsia" w:ascii="仿宋_GB2312" w:hAnsi="Calibri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五、学生发展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包括学生品德、学风建设、学生工作、学业指导、心理健康教育、就业指导、社团活动、交流机会等对学生心理、学习、成长方面的支持和成效。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参照指标</w:t>
      </w:r>
      <w:r>
        <w:rPr>
          <w:rFonts w:hint="eastAsia" w:ascii="仿宋_GB2312" w:hAnsi="Calibri"/>
          <w:sz w:val="32"/>
          <w:szCs w:val="32"/>
          <w:lang w:eastAsia="zh-CN"/>
        </w:rPr>
        <w:t>体系</w:t>
      </w:r>
      <w:r>
        <w:rPr>
          <w:rFonts w:hint="eastAsia" w:ascii="仿宋_GB2312" w:hAnsi="Calibri"/>
          <w:sz w:val="32"/>
          <w:szCs w:val="32"/>
        </w:rPr>
        <w:t>“</w:t>
      </w:r>
      <w:r>
        <w:rPr>
          <w:rFonts w:ascii="仿宋_GB2312" w:hAnsi="Calibri"/>
          <w:b/>
          <w:bCs/>
          <w:sz w:val="32"/>
          <w:szCs w:val="32"/>
        </w:rPr>
        <w:t>5</w:t>
      </w:r>
      <w:r>
        <w:rPr>
          <w:rFonts w:hint="eastAsia" w:ascii="仿宋_GB2312" w:hAnsi="Calibri"/>
          <w:b/>
          <w:bCs/>
          <w:sz w:val="32"/>
          <w:szCs w:val="32"/>
        </w:rPr>
        <w:t>.学生发展</w:t>
      </w:r>
      <w:r>
        <w:rPr>
          <w:rFonts w:hint="eastAsia" w:ascii="仿宋_GB2312" w:hAnsi="Calibri"/>
          <w:sz w:val="32"/>
          <w:szCs w:val="32"/>
        </w:rPr>
        <w:t>”</w:t>
      </w:r>
      <w:r>
        <w:rPr>
          <w:rFonts w:hint="eastAsia" w:ascii="仿宋_GB2312" w:hAnsi="Calibri"/>
          <w:sz w:val="32"/>
          <w:szCs w:val="32"/>
          <w:lang w:eastAsia="zh-CN"/>
        </w:rPr>
        <w:t>的审核重点进行阐述</w:t>
      </w:r>
      <w:r>
        <w:rPr>
          <w:rFonts w:hint="eastAsia" w:ascii="仿宋_GB2312" w:hAnsi="Calibri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六、质量保障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总结学院质量标准、质量管理、质量评价及结果反馈、持续改进</w:t>
      </w:r>
      <w:r>
        <w:rPr>
          <w:rFonts w:hint="eastAsia" w:ascii="仿宋_GB2312" w:hAnsi="Calibri"/>
          <w:sz w:val="32"/>
          <w:szCs w:val="32"/>
          <w:lang w:eastAsia="zh-CN"/>
        </w:rPr>
        <w:t>等</w:t>
      </w:r>
      <w:r>
        <w:rPr>
          <w:rFonts w:hint="eastAsia" w:ascii="仿宋_GB2312" w:hAnsi="Calibri"/>
          <w:sz w:val="32"/>
          <w:szCs w:val="32"/>
        </w:rPr>
        <w:t>方面的做法和成效。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</w:rPr>
        <w:t>参照指标</w:t>
      </w:r>
      <w:r>
        <w:rPr>
          <w:rFonts w:hint="eastAsia" w:ascii="仿宋_GB2312" w:hAnsi="Calibri"/>
          <w:sz w:val="32"/>
          <w:szCs w:val="32"/>
          <w:lang w:eastAsia="zh-CN"/>
        </w:rPr>
        <w:t>体系</w:t>
      </w:r>
      <w:r>
        <w:rPr>
          <w:rFonts w:hint="eastAsia" w:ascii="仿宋_GB2312" w:hAnsi="Calibri"/>
          <w:sz w:val="32"/>
          <w:szCs w:val="32"/>
        </w:rPr>
        <w:t>“</w:t>
      </w:r>
      <w:r>
        <w:rPr>
          <w:rFonts w:ascii="仿宋_GB2312" w:hAnsi="Calibri"/>
          <w:b/>
          <w:bCs/>
          <w:sz w:val="32"/>
          <w:szCs w:val="32"/>
        </w:rPr>
        <w:t>6</w:t>
      </w:r>
      <w:r>
        <w:rPr>
          <w:rFonts w:hint="eastAsia" w:ascii="仿宋_GB2312" w:hAnsi="Calibri"/>
          <w:b/>
          <w:bCs/>
          <w:sz w:val="32"/>
          <w:szCs w:val="32"/>
        </w:rPr>
        <w:t>.质量保障</w:t>
      </w:r>
      <w:r>
        <w:rPr>
          <w:rFonts w:hint="eastAsia" w:ascii="仿宋_GB2312" w:hAnsi="Calibri"/>
          <w:sz w:val="32"/>
          <w:szCs w:val="32"/>
        </w:rPr>
        <w:t>”</w:t>
      </w:r>
      <w:r>
        <w:rPr>
          <w:rFonts w:hint="eastAsia" w:ascii="仿宋_GB2312" w:hAnsi="Calibri"/>
          <w:sz w:val="32"/>
          <w:szCs w:val="32"/>
          <w:lang w:eastAsia="zh-CN"/>
        </w:rPr>
        <w:t>的审核重点进行阐述。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七、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特色亮点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  <w:lang w:eastAsia="zh-CN"/>
        </w:rPr>
        <w:t>总结</w:t>
      </w:r>
      <w:r>
        <w:rPr>
          <w:rFonts w:hint="eastAsia" w:ascii="仿宋_GB2312" w:hAnsi="Calibri"/>
          <w:sz w:val="32"/>
          <w:szCs w:val="32"/>
        </w:rPr>
        <w:t>学院在本科人才培养方面的特色做法与</w:t>
      </w:r>
      <w:r>
        <w:rPr>
          <w:rFonts w:hint="eastAsia" w:ascii="仿宋_GB2312" w:hAnsi="Calibri"/>
          <w:sz w:val="32"/>
          <w:szCs w:val="32"/>
          <w:lang w:eastAsia="zh-CN"/>
        </w:rPr>
        <w:t>经验（案例另附）</w:t>
      </w:r>
      <w:r>
        <w:rPr>
          <w:rFonts w:hint="eastAsia" w:ascii="仿宋_GB2312" w:hAnsi="Calibri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八、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存在的问题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、原因分析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及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改进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措施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（不少于1000字）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Calibri"/>
          <w:sz w:val="32"/>
          <w:szCs w:val="32"/>
        </w:rPr>
      </w:pPr>
      <w:r>
        <w:rPr>
          <w:rFonts w:hint="eastAsia" w:ascii="仿宋_GB2312" w:hAnsi="Calibri"/>
          <w:sz w:val="32"/>
          <w:szCs w:val="32"/>
          <w:lang w:eastAsia="zh-CN"/>
        </w:rPr>
        <w:t>学院</w:t>
      </w:r>
      <w:r>
        <w:rPr>
          <w:rFonts w:hint="eastAsia" w:ascii="仿宋_GB2312" w:hAnsi="Calibri"/>
          <w:sz w:val="32"/>
          <w:szCs w:val="32"/>
        </w:rPr>
        <w:t>在本科教育教学过程</w:t>
      </w:r>
      <w:r>
        <w:rPr>
          <w:rFonts w:hint="eastAsia" w:ascii="仿宋_GB2312" w:hAnsi="Calibri"/>
          <w:sz w:val="32"/>
          <w:szCs w:val="32"/>
          <w:lang w:eastAsia="zh-CN"/>
        </w:rPr>
        <w:t>中存在</w:t>
      </w:r>
      <w:r>
        <w:rPr>
          <w:rFonts w:hint="eastAsia" w:ascii="仿宋_GB2312" w:hAnsi="Calibri"/>
          <w:sz w:val="32"/>
          <w:szCs w:val="32"/>
        </w:rPr>
        <w:t>的主要问题</w:t>
      </w:r>
      <w:r>
        <w:rPr>
          <w:rFonts w:hint="eastAsia" w:ascii="仿宋_GB2312" w:hAnsi="Calibri"/>
          <w:sz w:val="32"/>
          <w:szCs w:val="32"/>
          <w:lang w:eastAsia="zh-CN"/>
        </w:rPr>
        <w:t>，分析其原因</w:t>
      </w:r>
      <w:r>
        <w:rPr>
          <w:rFonts w:hint="eastAsia" w:ascii="仿宋_GB2312" w:hAnsi="Calibri"/>
          <w:sz w:val="32"/>
          <w:szCs w:val="32"/>
        </w:rPr>
        <w:t>，</w:t>
      </w:r>
      <w:r>
        <w:rPr>
          <w:rFonts w:hint="eastAsia" w:ascii="仿宋_GB2312" w:hAnsi="Calibri"/>
          <w:sz w:val="32"/>
          <w:szCs w:val="32"/>
          <w:lang w:eastAsia="zh-CN"/>
        </w:rPr>
        <w:t>并</w:t>
      </w:r>
      <w:r>
        <w:rPr>
          <w:rFonts w:hint="eastAsia" w:ascii="仿宋_GB2312" w:hAnsi="Calibri"/>
          <w:sz w:val="32"/>
          <w:szCs w:val="32"/>
        </w:rPr>
        <w:t>提出改进思路和举措。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Calibri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/>
          <w:sz w:val="32"/>
          <w:szCs w:val="32"/>
          <w:lang w:val="en-US" w:eastAsia="zh-CN"/>
        </w:rPr>
      </w:pPr>
      <w:r>
        <w:rPr>
          <w:rFonts w:hint="eastAsia" w:ascii="仿宋_GB2312" w:hAnsi="Calibri"/>
          <w:sz w:val="32"/>
          <w:szCs w:val="32"/>
          <w:lang w:val="en-US" w:eastAsia="zh-CN"/>
        </w:rPr>
        <w:t>附录：1.自评问题清单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outlineLvl w:val="9"/>
        <w:rPr>
          <w:rFonts w:hint="eastAsia" w:ascii="仿宋_GB2312" w:hAnsi="Calibri"/>
          <w:sz w:val="32"/>
          <w:szCs w:val="32"/>
          <w:lang w:val="en-US" w:eastAsia="zh-CN"/>
        </w:rPr>
      </w:pPr>
      <w:r>
        <w:rPr>
          <w:rFonts w:hint="eastAsia" w:ascii="仿宋_GB2312" w:hAnsi="Calibri"/>
          <w:sz w:val="32"/>
          <w:szCs w:val="32"/>
          <w:lang w:val="en-US" w:eastAsia="zh-CN"/>
        </w:rPr>
        <w:t>2.支撑材料目录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outlineLvl w:val="9"/>
        <w:rPr>
          <w:rFonts w:hint="eastAsia" w:ascii="仿宋_GB2312" w:hAnsi="Calibri"/>
          <w:sz w:val="32"/>
          <w:szCs w:val="32"/>
          <w:lang w:val="en-US" w:eastAsia="zh-CN"/>
        </w:rPr>
      </w:pPr>
      <w:r>
        <w:rPr>
          <w:rFonts w:hint="eastAsia" w:ascii="仿宋_GB2312" w:hAnsi="Calibri"/>
          <w:sz w:val="32"/>
          <w:szCs w:val="32"/>
          <w:lang w:val="en-US" w:eastAsia="zh-CN"/>
        </w:rPr>
        <w:t>3.</w:t>
      </w:r>
      <w:bookmarkStart w:id="0" w:name="OLE_LINK1"/>
      <w:r>
        <w:rPr>
          <w:rFonts w:hint="eastAsia" w:ascii="仿宋_GB2312" w:hAnsi="Calibri"/>
          <w:sz w:val="32"/>
          <w:szCs w:val="32"/>
          <w:lang w:val="en-US" w:eastAsia="zh-CN"/>
        </w:rPr>
        <w:t>本科人才培养特色案例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Calibri"/>
          <w:sz w:val="32"/>
          <w:szCs w:val="32"/>
          <w:lang w:val="en-US" w:eastAsia="zh-CN"/>
        </w:rPr>
        <w:sectPr>
          <w:pgSz w:w="11906" w:h="16838"/>
          <w:pgMar w:top="1134" w:right="1558" w:bottom="1134" w:left="1418" w:header="851" w:footer="992" w:gutter="0"/>
          <w:pgNumType w:start="1"/>
          <w:cols w:space="720" w:num="1"/>
          <w:docGrid w:type="lines" w:linePitch="435" w:charSpace="0"/>
        </w:sectPr>
      </w:pPr>
    </w:p>
    <w:p>
      <w:pPr>
        <w:pStyle w:val="3"/>
        <w:ind w:left="0" w:leftChars="0" w:firstLine="0" w:firstLineChars="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附录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1：自评问题清单</w:t>
      </w:r>
    </w:p>
    <w:p>
      <w:pPr>
        <w:pStyle w:val="3"/>
        <w:ind w:left="0" w:leftChars="0" w:firstLine="0" w:firstLineChars="0"/>
        <w:rPr>
          <w:rFonts w:hint="eastAsia" w:ascii="黑体" w:hAnsi="黑体" w:eastAsia="黑体" w:cs="黑体"/>
          <w:b w:val="0"/>
          <w:bCs w:val="0"/>
          <w:lang w:val="en-US" w:eastAsia="zh-CN"/>
        </w:rPr>
      </w:pPr>
    </w:p>
    <w:tbl>
      <w:tblPr>
        <w:tblStyle w:val="10"/>
        <w:tblW w:w="1355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1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359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自评项目</w:t>
            </w:r>
          </w:p>
        </w:tc>
        <w:tc>
          <w:tcPr>
            <w:tcW w:w="1120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问题简明阐述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359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立德树人与本科地位</w:t>
            </w:r>
          </w:p>
        </w:tc>
        <w:tc>
          <w:tcPr>
            <w:tcW w:w="1120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问题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问题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59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培养过程</w:t>
            </w:r>
          </w:p>
        </w:tc>
        <w:tc>
          <w:tcPr>
            <w:tcW w:w="1120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问题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59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教师队伍</w:t>
            </w:r>
          </w:p>
        </w:tc>
        <w:tc>
          <w:tcPr>
            <w:tcW w:w="1120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问题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59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学生发展</w:t>
            </w:r>
          </w:p>
        </w:tc>
        <w:tc>
          <w:tcPr>
            <w:tcW w:w="1120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问题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59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质量保障</w:t>
            </w:r>
          </w:p>
        </w:tc>
        <w:tc>
          <w:tcPr>
            <w:tcW w:w="1120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问题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……</w:t>
            </w:r>
          </w:p>
        </w:tc>
      </w:tr>
    </w:tbl>
    <w:p>
      <w:pPr>
        <w:pStyle w:val="3"/>
        <w:ind w:left="0" w:leftChars="0" w:firstLine="0" w:firstLineChars="0"/>
        <w:rPr>
          <w:rFonts w:hint="eastAsia" w:ascii="黑体" w:hAnsi="黑体" w:eastAsia="黑体" w:cs="黑体"/>
          <w:b w:val="0"/>
          <w:bCs w:val="0"/>
        </w:rPr>
        <w:sectPr>
          <w:pgSz w:w="16838" w:h="11906" w:orient="landscape"/>
          <w:pgMar w:top="1418" w:right="1134" w:bottom="1558" w:left="1134" w:header="851" w:footer="992" w:gutter="0"/>
          <w:pgNumType w:start="1"/>
          <w:cols w:space="720" w:num="1"/>
          <w:docGrid w:type="lines" w:linePitch="435" w:charSpace="0"/>
        </w:sectPr>
      </w:pPr>
    </w:p>
    <w:p>
      <w:pPr>
        <w:pStyle w:val="3"/>
        <w:ind w:left="0" w:leftChars="0" w:firstLine="0" w:firstLineChars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录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：支撑材料目录</w:t>
      </w:r>
    </w:p>
    <w:p>
      <w:pPr>
        <w:pStyle w:val="3"/>
        <w:ind w:left="0" w:leftChars="0" w:firstLine="0" w:firstLineChars="0"/>
        <w:rPr>
          <w:rFonts w:hint="eastAsia" w:ascii="黑体" w:hAnsi="黑体" w:eastAsia="黑体" w:cs="黑体"/>
          <w:b w:val="0"/>
          <w:bCs w:val="0"/>
        </w:rPr>
      </w:pPr>
    </w:p>
    <w:tbl>
      <w:tblPr>
        <w:tblStyle w:val="10"/>
        <w:tblW w:w="13826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3214"/>
        <w:gridCol w:w="8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45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自评项目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考察指标</w:t>
            </w: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材料目录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452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立德树人与本科地位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党的领导</w:t>
            </w: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支撑材料1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支撑材料2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452" w:type="dxa"/>
            <w:vMerge w:val="continue"/>
            <w:vAlign w:val="top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思政教育</w:t>
            </w: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支撑材料1</w:t>
            </w:r>
          </w:p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52" w:type="dxa"/>
            <w:vMerge w:val="continue"/>
            <w:vAlign w:val="top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本科地位</w:t>
            </w: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52" w:type="dxa"/>
            <w:vMerge w:val="continue"/>
            <w:vAlign w:val="top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5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培养过程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5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教师队伍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5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学生发展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5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质量保障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5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特色亮点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16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560" w:firstLineChars="200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注：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.支撑材料应是自评总结的具体表现和支撑，包括但不限于党建、思政、学生工作、三全育人等育人工作材料，人才培养方案制（修）订、专业设置调整、领导专家听课、教学检查等教学管理材料，院系相关制度文件，教育教学改革与创创业教育成果材料，典型案例材料，相关工作会议纪要或新闻稿，以及能够支撑人才培养自评总结的其他材料。统计时间以近3年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1120" w:firstLineChars="400"/>
        <w:textAlignment w:val="auto"/>
        <w:outlineLvl w:val="9"/>
        <w:rPr>
          <w:rFonts w:hint="eastAsia" w:ascii="仿宋" w:hAnsi="仿宋" w:eastAsia="仿宋"/>
          <w:sz w:val="28"/>
          <w:szCs w:val="28"/>
          <w:lang w:eastAsia="zh-CN"/>
        </w:rPr>
        <w:sectPr>
          <w:pgSz w:w="16838" w:h="11906" w:orient="landscape"/>
          <w:pgMar w:top="1418" w:right="1134" w:bottom="1558" w:left="1134" w:header="851" w:footer="992" w:gutter="0"/>
          <w:pgNumType w:start="1"/>
          <w:cols w:space="720" w:num="1"/>
          <w:docGrid w:type="lines" w:linePitch="435" w:charSpace="0"/>
        </w:sect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2.支撑材料对应目录整理成册，学院留存备查。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附录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3：本科人才培养特色案例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Calibri"/>
          <w:szCs w:val="32"/>
        </w:rPr>
      </w:pPr>
    </w:p>
    <w:sectPr>
      <w:pgSz w:w="11906" w:h="16838"/>
      <w:pgMar w:top="1134" w:right="1558" w:bottom="1134" w:left="1418" w:header="851" w:footer="992" w:gutter="0"/>
      <w:pgNumType w:start="1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316587-BE3B-418C-B1AA-E40818DCA01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EAF4B86-56C2-4901-B3B4-37E9DB1A569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65E5DE6-9D79-4395-A997-41690DB0CF87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4" w:fontKey="{67C0CF77-790E-4651-B18D-08CEC0248D9C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文鼎小标宋简">
    <w:altName w:val="微软雅黑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D5AC4449-9516-4ED1-8688-F03F53DB4B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C0B5E113-DDDA-416B-9295-EBB5D96E6A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0ODk1ODUyMDJiOWM2OGE0NTgwNWJlZjlkNDExOWQifQ=="/>
  </w:docVars>
  <w:rsids>
    <w:rsidRoot w:val="00597A3A"/>
    <w:rsid w:val="00012984"/>
    <w:rsid w:val="00026420"/>
    <w:rsid w:val="00046571"/>
    <w:rsid w:val="001564EF"/>
    <w:rsid w:val="0018290F"/>
    <w:rsid w:val="001916B8"/>
    <w:rsid w:val="001B499D"/>
    <w:rsid w:val="00281160"/>
    <w:rsid w:val="002B5F87"/>
    <w:rsid w:val="00310E5D"/>
    <w:rsid w:val="0035464F"/>
    <w:rsid w:val="003C2991"/>
    <w:rsid w:val="00430E19"/>
    <w:rsid w:val="00465935"/>
    <w:rsid w:val="0050054F"/>
    <w:rsid w:val="00506FF1"/>
    <w:rsid w:val="00597A3A"/>
    <w:rsid w:val="00657316"/>
    <w:rsid w:val="0067323A"/>
    <w:rsid w:val="007363B2"/>
    <w:rsid w:val="00794EAD"/>
    <w:rsid w:val="00795517"/>
    <w:rsid w:val="007F5048"/>
    <w:rsid w:val="007F5396"/>
    <w:rsid w:val="008A75CB"/>
    <w:rsid w:val="008C101D"/>
    <w:rsid w:val="008D5E37"/>
    <w:rsid w:val="00953660"/>
    <w:rsid w:val="00980CFB"/>
    <w:rsid w:val="009F75B9"/>
    <w:rsid w:val="00A72379"/>
    <w:rsid w:val="00A91BC9"/>
    <w:rsid w:val="00AE4238"/>
    <w:rsid w:val="00BB787E"/>
    <w:rsid w:val="00BD2319"/>
    <w:rsid w:val="00BE3051"/>
    <w:rsid w:val="00C07414"/>
    <w:rsid w:val="00C1030F"/>
    <w:rsid w:val="00C14300"/>
    <w:rsid w:val="00C80D5E"/>
    <w:rsid w:val="00CF181D"/>
    <w:rsid w:val="00D0433C"/>
    <w:rsid w:val="00D2128C"/>
    <w:rsid w:val="00D34877"/>
    <w:rsid w:val="00D72752"/>
    <w:rsid w:val="00D81E6C"/>
    <w:rsid w:val="00DA08C8"/>
    <w:rsid w:val="00DC3210"/>
    <w:rsid w:val="00DF1AE3"/>
    <w:rsid w:val="00E47257"/>
    <w:rsid w:val="00E81B8E"/>
    <w:rsid w:val="00EF5546"/>
    <w:rsid w:val="00F71FDA"/>
    <w:rsid w:val="00FE4CE0"/>
    <w:rsid w:val="00FE7A39"/>
    <w:rsid w:val="00FE7E9A"/>
    <w:rsid w:val="02254AF9"/>
    <w:rsid w:val="029762A4"/>
    <w:rsid w:val="03122349"/>
    <w:rsid w:val="03663FE6"/>
    <w:rsid w:val="04056CC9"/>
    <w:rsid w:val="04160A34"/>
    <w:rsid w:val="06252154"/>
    <w:rsid w:val="066E5BC6"/>
    <w:rsid w:val="07511628"/>
    <w:rsid w:val="08D37ED9"/>
    <w:rsid w:val="0B506FA0"/>
    <w:rsid w:val="0CCB233E"/>
    <w:rsid w:val="0F137F84"/>
    <w:rsid w:val="10C8333B"/>
    <w:rsid w:val="121645D8"/>
    <w:rsid w:val="137C6FAF"/>
    <w:rsid w:val="14C13691"/>
    <w:rsid w:val="14FF608D"/>
    <w:rsid w:val="16F13900"/>
    <w:rsid w:val="18EE51DF"/>
    <w:rsid w:val="19CC6994"/>
    <w:rsid w:val="1E4B6404"/>
    <w:rsid w:val="1FDA069D"/>
    <w:rsid w:val="2249479F"/>
    <w:rsid w:val="22820548"/>
    <w:rsid w:val="24EA5B31"/>
    <w:rsid w:val="283527AB"/>
    <w:rsid w:val="29340EA1"/>
    <w:rsid w:val="29F51947"/>
    <w:rsid w:val="2A1B6DE7"/>
    <w:rsid w:val="2AC81D41"/>
    <w:rsid w:val="2AE3396A"/>
    <w:rsid w:val="2B7D297C"/>
    <w:rsid w:val="2CC22880"/>
    <w:rsid w:val="32A55EF5"/>
    <w:rsid w:val="33DA7344"/>
    <w:rsid w:val="340D54EE"/>
    <w:rsid w:val="344D147D"/>
    <w:rsid w:val="36AC046D"/>
    <w:rsid w:val="38A2353F"/>
    <w:rsid w:val="3C7F17BE"/>
    <w:rsid w:val="3D6D1CD5"/>
    <w:rsid w:val="3E0E5FDB"/>
    <w:rsid w:val="3ECF5426"/>
    <w:rsid w:val="3FFF4E7B"/>
    <w:rsid w:val="41396541"/>
    <w:rsid w:val="41C258A9"/>
    <w:rsid w:val="41FD4DB3"/>
    <w:rsid w:val="429715BE"/>
    <w:rsid w:val="43651C32"/>
    <w:rsid w:val="4452207A"/>
    <w:rsid w:val="44774C1F"/>
    <w:rsid w:val="46536BAF"/>
    <w:rsid w:val="47610C52"/>
    <w:rsid w:val="47A73950"/>
    <w:rsid w:val="49B23F90"/>
    <w:rsid w:val="49C5081B"/>
    <w:rsid w:val="514E7E22"/>
    <w:rsid w:val="523A4AA6"/>
    <w:rsid w:val="5342771F"/>
    <w:rsid w:val="549C377F"/>
    <w:rsid w:val="5669235D"/>
    <w:rsid w:val="58C60BBB"/>
    <w:rsid w:val="58E1654F"/>
    <w:rsid w:val="5A736BAA"/>
    <w:rsid w:val="5AC10F9B"/>
    <w:rsid w:val="5C087684"/>
    <w:rsid w:val="5DBA6852"/>
    <w:rsid w:val="5E446B26"/>
    <w:rsid w:val="5F496AD5"/>
    <w:rsid w:val="5FF328A6"/>
    <w:rsid w:val="60CF6F4F"/>
    <w:rsid w:val="6211736C"/>
    <w:rsid w:val="63597DA8"/>
    <w:rsid w:val="64CA5B98"/>
    <w:rsid w:val="6815199B"/>
    <w:rsid w:val="68AB2994"/>
    <w:rsid w:val="69A034BB"/>
    <w:rsid w:val="6B39241E"/>
    <w:rsid w:val="6C1273F8"/>
    <w:rsid w:val="6C3F5C0D"/>
    <w:rsid w:val="6CCA1B61"/>
    <w:rsid w:val="6E28561D"/>
    <w:rsid w:val="6EEE1503"/>
    <w:rsid w:val="6F9C5BC4"/>
    <w:rsid w:val="74AF596B"/>
    <w:rsid w:val="761911A3"/>
    <w:rsid w:val="76A827B2"/>
    <w:rsid w:val="77916EBE"/>
    <w:rsid w:val="783B6126"/>
    <w:rsid w:val="78EE3FF0"/>
    <w:rsid w:val="7A1224A3"/>
    <w:rsid w:val="7A9F7F86"/>
    <w:rsid w:val="7AF63C91"/>
    <w:rsid w:val="7CB752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qFormat/>
    <w:uiPriority w:val="0"/>
    <w:pPr>
      <w:widowControl/>
      <w:spacing w:line="240" w:lineRule="auto"/>
      <w:ind w:firstLine="708" w:firstLineChars="236"/>
      <w:jc w:val="left"/>
      <w:outlineLvl w:val="1"/>
    </w:pPr>
    <w:rPr>
      <w:rFonts w:ascii="微软雅黑" w:hAnsi="微软雅黑" w:eastAsia="微软雅黑" w:cs="宋体"/>
      <w:b/>
      <w:bCs/>
      <w:kern w:val="0"/>
      <w:sz w:val="30"/>
      <w:szCs w:val="30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Title"/>
    <w:basedOn w:val="1"/>
    <w:next w:val="1"/>
    <w:link w:val="16"/>
    <w:qFormat/>
    <w:uiPriority w:val="10"/>
    <w:pPr>
      <w:spacing w:line="640" w:lineRule="exact"/>
      <w:jc w:val="center"/>
      <w:outlineLvl w:val="0"/>
    </w:pPr>
    <w:rPr>
      <w:rFonts w:ascii="Cambria" w:hAnsi="Cambria" w:eastAsia="文鼎小标宋简" w:cs="Times New Roman"/>
      <w:bCs/>
      <w:sz w:val="44"/>
      <w:szCs w:val="32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标题 2 字符"/>
    <w:link w:val="3"/>
    <w:qFormat/>
    <w:uiPriority w:val="0"/>
    <w:rPr>
      <w:rFonts w:ascii="微软雅黑" w:hAnsi="微软雅黑" w:eastAsia="微软雅黑" w:cs="宋体"/>
      <w:b/>
      <w:bCs/>
      <w:sz w:val="30"/>
      <w:szCs w:val="30"/>
    </w:rPr>
  </w:style>
  <w:style w:type="character" w:customStyle="1" w:styleId="13">
    <w:name w:val="日期 字符"/>
    <w:link w:val="5"/>
    <w:semiHidden/>
    <w:qFormat/>
    <w:uiPriority w:val="99"/>
    <w:rPr>
      <w:rFonts w:eastAsia="仿宋_GB2312"/>
      <w:kern w:val="2"/>
      <w:sz w:val="32"/>
      <w:szCs w:val="22"/>
    </w:rPr>
  </w:style>
  <w:style w:type="character" w:customStyle="1" w:styleId="14">
    <w:name w:val="页脚 字符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5">
    <w:name w:val="页眉 字符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标题 字符"/>
    <w:link w:val="8"/>
    <w:qFormat/>
    <w:uiPriority w:val="10"/>
    <w:rPr>
      <w:rFonts w:ascii="Cambria" w:hAnsi="Cambria" w:eastAsia="文鼎小标宋简" w:cs="Times New Roman"/>
      <w:bCs/>
      <w:sz w:val="44"/>
      <w:szCs w:val="32"/>
    </w:rPr>
  </w:style>
  <w:style w:type="table" w:customStyle="1" w:styleId="17">
    <w:name w:val="网格型1"/>
    <w:basedOn w:val="10"/>
    <w:qFormat/>
    <w:uiPriority w:val="39"/>
    <w:rPr>
      <w:rFonts w:ascii="等线" w:hAnsi="等线" w:eastAsia="等线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2907</Words>
  <Characters>2958</Characters>
  <Lines>22</Lines>
  <Paragraphs>6</Paragraphs>
  <TotalTime>1</TotalTime>
  <ScaleCrop>false</ScaleCrop>
  <LinksUpToDate>false</LinksUpToDate>
  <CharactersWithSpaces>2966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2023-10-15T09:49:00Z</dcterms:created>
  <dc:creator>陈慧</dc:creator>
  <cp:lastModifiedBy>THTF</cp:lastModifiedBy>
  <cp:lastPrinted>2016-09-02T07:04:00Z</cp:lastPrinted>
  <dcterms:modified xsi:type="dcterms:W3CDTF">2024-12-31T08:11:22Z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D12415E113494EA784A8B82E2C98D414_13</vt:lpwstr>
  </property>
</Properties>
</file>