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6956">
      <w:pPr>
        <w:jc w:val="center"/>
        <w:rPr>
          <w:rFonts w:ascii="宋体" w:hAnsi="宋体" w:eastAsia="宋体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36"/>
          <w:szCs w:val="28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28"/>
        </w:rPr>
        <w:t>年度暨南大学钟陈玉兰本科生科研创新项目中期检查名单</w:t>
      </w:r>
    </w:p>
    <w:tbl>
      <w:tblPr>
        <w:tblStyle w:val="4"/>
        <w:tblW w:w="4852" w:type="pct"/>
        <w:tblInd w:w="-2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902"/>
        <w:gridCol w:w="1602"/>
        <w:gridCol w:w="1284"/>
        <w:gridCol w:w="1998"/>
        <w:gridCol w:w="1327"/>
        <w:gridCol w:w="2079"/>
      </w:tblGrid>
      <w:tr w14:paraId="72EBC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A18297E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C05B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563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负责人</w:t>
            </w:r>
          </w:p>
          <w:p w14:paraId="0435D818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1D62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负责人</w:t>
            </w:r>
          </w:p>
          <w:p w14:paraId="41646824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B2D4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负责人所在学院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58A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887C">
            <w:pPr>
              <w:widowControl/>
              <w:jc w:val="center"/>
              <w:rPr>
                <w:rFonts w:ascii="宋体" w:hAnsi="宋体" w:eastAsia="宋体" w:cs="宋体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</w:rPr>
              <w:t>指导教师所在学院</w:t>
            </w:r>
          </w:p>
        </w:tc>
      </w:tr>
      <w:tr w14:paraId="0279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ZC2501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掌中侨影：潮州清晖楼侨批文化馆侨批档案“藏”与“用”融合探索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2024100489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杨刘秀子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4FC29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ZC2502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非遗广彩数字化传承中的法律风险与规制路径——以 AI 生成内容的版权争议为切入点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2023100844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丘森森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郝万爽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7452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ZC2503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涂彩于面，献彩高台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粤剧脸谱传承与创新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2022151947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李雅柔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叶农、吴青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</w:tr>
      <w:tr w14:paraId="58AC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ZC2504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数木智造：岭南硬木家具谱系与数字赋能研究——基于粤港澳大湾区80家企业与东盟华侨遗产的调研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2024152179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葛子诚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杨田、唐翀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</w:tr>
      <w:tr w14:paraId="17A0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ZC2505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曲传狮城，韵系南粤：AI+时代背景下近代新加坡岭南戏曲的历史发展路径与现当代传承研究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2022152858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温棣文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叶农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</w:tr>
      <w:tr w14:paraId="32AA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ZC2506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跃出纸上,你不了解的侨商巨子——胡文虎全媒体形象构建项目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2023102451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肖露荷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王华、卢玉敏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  <w:tr w14:paraId="43DC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ZC2507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智护窑脉，云铸洞天：智能技术驱动下的延安窑洞文化遗产保护与创新传承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2023102404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许慧盈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曾一果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</w:tr>
      <w:tr w14:paraId="0F0B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ZC2508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“何以绿洲”：加速社会语境下京剧在短视频平台的内容适应与传播策略研究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2022103290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方惠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</w:tr>
      <w:tr w14:paraId="4D89A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ZC2509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按图索“迹”——虚实共构式始兴县全域文旅导览平台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2022100777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陈泽瑶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马丽娜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0166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ZC2510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广州十三行清代外销画特展的数智化转型 ——跨文化视域下基于AIGC技术的沉浸式数字展陈设计路径刍议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2023102975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葛涵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宋婉贞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28F0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ZC2511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数字视域下非遗技艺跨文化传播与港澳台侨文化认同培养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2023101617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杜叶敏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法学院/知识产权学院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赵建国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</w:tr>
      <w:tr w14:paraId="168A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ZC2512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中草药园双向互动式研学设计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2024100750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王婧茹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孟庆旭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国际能源学院</w:t>
            </w:r>
          </w:p>
        </w:tc>
      </w:tr>
      <w:tr w14:paraId="1CD8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ZC2513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“婀傩多姿”——AI赋能非遗傩戏的多生态传播传承计划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2023100941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肖棋欣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郭津毓、吴菁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63F3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ZC2514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拾光NostalAI——博物馆里的家族记忆拼图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2022101590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宁佳露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吴菁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</w:tr>
      <w:tr w14:paraId="37729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ZC2515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基于多模态情感计算的南洋华侨口述史活化研究——AI 驱动下文化基因的解码与传承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2023100955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李丽金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智能科学与工程学院/人工智能产业学院</w:t>
            </w:r>
          </w:p>
        </w:tc>
      </w:tr>
      <w:tr w14:paraId="7A11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ZC2516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智墨舞云间：数字人文视域下书法博物馆多模态传播模式研究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2023102837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苏宝华、赵铁锌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华文学院</w:t>
            </w:r>
          </w:p>
        </w:tc>
      </w:tr>
      <w:tr w14:paraId="6CB6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ZC2517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因地“智”“遗”——以广东省非物质文化遗产普及推广为目标的智能化文化地图建设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2023102851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蔡峥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文化遗产创意产业研究院</w:t>
            </w:r>
          </w:p>
        </w:tc>
      </w:tr>
      <w:tr w14:paraId="1A8C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ZC2518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“粤韵侨情”：数字化浪潮中广东华侨景观的创新保护模式与传播策略研究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2023100728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深圳旅游学院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深圳旅游学院</w:t>
            </w:r>
          </w:p>
        </w:tc>
      </w:tr>
      <w:tr w14:paraId="32B2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ZC2519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AI赋能下佛山铜凿剪纸艺术的国际传播研究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2023151759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吕亿鑫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515F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ZC2520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南洋华人华侨春节文化的数字化传播路径的探索与构建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2022102369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唐宇静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许双如、陈静怡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</w:tbl>
    <w:p w14:paraId="71219560">
      <w:pPr>
        <w:rPr>
          <w:rFonts w:ascii="Times New Roman" w:hAnsi="Times New Roman" w:eastAsia="宋体" w:cs="Times New Roman"/>
          <w:szCs w:val="24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zZGUwZTNhODhmMzQ1MmNlMWI1MjQ0YzEwMDQ2YzkifQ=="/>
  </w:docVars>
  <w:rsids>
    <w:rsidRoot w:val="007E030A"/>
    <w:rsid w:val="00100193"/>
    <w:rsid w:val="001A306C"/>
    <w:rsid w:val="002B2207"/>
    <w:rsid w:val="00306D7A"/>
    <w:rsid w:val="0032043B"/>
    <w:rsid w:val="004851C6"/>
    <w:rsid w:val="00561CF5"/>
    <w:rsid w:val="006056DF"/>
    <w:rsid w:val="006B2D2F"/>
    <w:rsid w:val="007E030A"/>
    <w:rsid w:val="00997532"/>
    <w:rsid w:val="009C221E"/>
    <w:rsid w:val="00BA5086"/>
    <w:rsid w:val="00C53E28"/>
    <w:rsid w:val="00C71979"/>
    <w:rsid w:val="00D664B5"/>
    <w:rsid w:val="00E45E22"/>
    <w:rsid w:val="00EF1D8D"/>
    <w:rsid w:val="00F038AA"/>
    <w:rsid w:val="17371845"/>
    <w:rsid w:val="236D42CA"/>
    <w:rsid w:val="2DD00F99"/>
    <w:rsid w:val="36036374"/>
    <w:rsid w:val="36CB4A75"/>
    <w:rsid w:val="39A475F1"/>
    <w:rsid w:val="3CEA279F"/>
    <w:rsid w:val="44D51F86"/>
    <w:rsid w:val="488345C4"/>
    <w:rsid w:val="4BE33621"/>
    <w:rsid w:val="56EC3E67"/>
    <w:rsid w:val="57A228CA"/>
    <w:rsid w:val="64833363"/>
    <w:rsid w:val="65FB6898"/>
    <w:rsid w:val="674627A5"/>
    <w:rsid w:val="68132203"/>
    <w:rsid w:val="6CCD19E4"/>
    <w:rsid w:val="6F753A7C"/>
    <w:rsid w:val="79D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1046</Words>
  <Characters>1346</Characters>
  <Lines>10</Lines>
  <Paragraphs>2</Paragraphs>
  <TotalTime>19</TotalTime>
  <ScaleCrop>false</ScaleCrop>
  <LinksUpToDate>false</LinksUpToDate>
  <CharactersWithSpaces>1350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2024-04-12T09:50:00Z</dcterms:created>
  <dc:creator>邓启东</dc:creator>
  <cp:lastModifiedBy>韦艺伟</cp:lastModifiedBy>
  <cp:lastPrinted>2025-10-15T00:16:02Z</cp:lastPrinted>
  <dcterms:modified xsi:type="dcterms:W3CDTF">2025-10-15T00:34:30Z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4B11259C59814550A0B61E9D2B634448_13</vt:lpwstr>
  </property>
  <property fmtid="{D5CDD505-2E9C-101B-9397-08002B2CF9AE}" pid="4" name="KSOTemplateDocerSaveRecord">
    <vt:lpwstr>eyJoZGlkIjoiNTU0ZTZiMmE4YjA2MzA1NTNmYWMzOTVlNzYxZWUxOWIiLCJ1c2VySWQiOiIzODY2ODkwNzMifQ==</vt:lpwstr>
  </property>
</Properties>
</file>