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napToGrid w:val="0"/>
        <w:spacing w:before="156" w:beforeLines="50"/>
        <w:ind w:left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2023年度智能基座产教融合协同育人基地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313" w:afterLines="100"/>
        <w:ind w:left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奖学金申请条件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313" w:afterLines="100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</w:rPr>
        <w:t>奖学金标准按照鲲鹏、昇腾、华为云和公共四个方向分别设置标准，学生</w:t>
      </w:r>
      <w:r>
        <w:rPr>
          <w:rFonts w:hint="eastAsia" w:ascii="宋体" w:hAnsi="宋体" w:cs="宋体"/>
          <w:b w:val="0"/>
          <w:bCs/>
          <w:i w:val="0"/>
          <w:iCs w:val="0"/>
          <w:sz w:val="28"/>
          <w:szCs w:val="28"/>
          <w:lang w:val="en-US" w:eastAsia="zh-CN"/>
        </w:rPr>
        <w:t>限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</w:rPr>
        <w:t>选其一申报</w:t>
      </w:r>
      <w:r>
        <w:rPr>
          <w:rFonts w:hint="eastAsia" w:ascii="宋体" w:hAnsi="宋体" w:cs="宋体"/>
          <w:b w:val="0"/>
          <w:bCs/>
          <w:i w:val="0"/>
          <w:iCs w:val="0"/>
          <w:sz w:val="28"/>
          <w:szCs w:val="28"/>
          <w:lang w:eastAsia="zh-CN"/>
        </w:rPr>
        <w:t>。</w:t>
      </w:r>
    </w:p>
    <w:tbl>
      <w:tblPr>
        <w:tblStyle w:val="6"/>
        <w:tblW w:w="8200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976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446" w:type="dxa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2976" w:type="dxa"/>
            <w:shd w:val="clear" w:color="auto" w:fill="F1F1F1" w:themeFill="background1" w:themeFillShade="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学习必备项</w:t>
            </w:r>
          </w:p>
        </w:tc>
        <w:tc>
          <w:tcPr>
            <w:tcW w:w="4778" w:type="dxa"/>
            <w:shd w:val="clear" w:color="auto" w:fill="F1F1F1" w:themeFill="background1" w:themeFillShade="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实践必备项（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yellow"/>
              </w:rPr>
              <w:t>至少满足其中一项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4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公共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满足鲲鹏/昇腾/华为云其中一类学习必备项要求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作为智能基座社团骨干，组织系列社团活动，成绩突出。(不超过2人)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鲲鹏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取得鲲鹏线上课程综合考核&gt;=2门，成绩优秀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（见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"https://edu.hicomputing.huawei.com/learningresources"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</w:rPr>
              <w:t>https://edu.hicomputing.huawei.com/learningresources</w:t>
            </w:r>
            <w:r>
              <w:rPr>
                <w:rStyle w:val="3"/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的综合考核）或鲲鹏微认证&gt;=2门（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"https://www.hikunpeng.com/zh/learn/micro-certification"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https://www.hikunpeng.com/zh/learn/micro-certification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）或取得&gt;=1个华为鲲鹏HCIX认证（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"https://www.hikunpeng.com/zh/learn/career-certification"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https://www.hikunpeng.com/zh/learn/career-certification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）或参加鲲鹏训练营取得&gt;=2个训练营证书（见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"https://www.hikunpeng.com/zh/developer"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https://www.hikunpeng.com/zh/developer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活动与大赛）。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4778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鲲鹏关键技术（不包括简单使用鲲鹏ECS的场景），在各类竞赛或创新活动中成功提交作品，并取得优秀名次者。包括并不限于中国“互联网+”创新创业大赛产业赛道（华为命题）、全国计算机系统能力大赛-编译、操作系统（功能赛）赛道、大学生创新创业训练计划（华为企业命题）、鲲鹏应用创新大赛、软件精英挑战赛等赛事的鲲鹏相关赛道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（举证材料：项目简介、获奖证书）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参加并完成鲲鹏众智项目的关键贡献（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"https://www.hikunpeng.com/zh/ecosystem/ecology_remit"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https://www.hikunpeng.com/zh/ecosystem/ecology_remit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参加开源社区贡献，至少有&gt;=1个PR被openEuler/openGauss社区合入代码仓库；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参加鲲鹏优才计划，成功取得实习/就业机会；（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"https://edu.hicomputing.huawei.com/ecosystem/internship-program/kunpeng?tag=study"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https://edu.hicomputing.huawei.com/ecosystem/internship-program/kunpeng?tag=study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成为鲲鹏开发者校园大使（KDCA），并履行大使相关职责。（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"https://www.hikunpeng.com/zh/developer/campus-ambassadors"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https://www.hikunpeng.com/zh/developer/campus-ambassadors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鲲鹏社区个人成长值达到L3或以上。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（https://www.hikunpeng.com/profile）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以鲲鹏作为关键技术开展毕业设计，成绩优秀；（举证材料：优秀评语等）。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4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昇腾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before="312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完成昇腾线上课程综合考核&gt;=1门（见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"https://edu.hicomputing.huawei.com/learningresources"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https://edu.hicomputing.huawei.com/learningresources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的综合考核）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或 昇腾微认证&gt;=2门（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"https://www.hiascend.com/zh/edu/certification"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https://www.hiascend.com/zh/edu/certification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或 华为HCIX-AI认证&gt;=1个（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"https://www.hiascend.com/zh/edu/career-certification"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https://www.hiascend.com/zh/edu/career-certification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4778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以昇腾作为关键技术开展毕业设计，成绩优秀；（举证材料：优秀评语等）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使用昇腾技术，在各类竞赛或创新活动中成功提交作品，取得优秀名次者优先。包括但不限于中国“互联网+”创新创业大赛、大学生创新创业训练计划、昇腾AI创新大赛 或 其他人工智能领域的创新大赛（举证材料：项目简介、获奖证书）；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参加昇腾线上开发者活动，获得优秀开发者证书；（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"https://www.hiascend.com/zh/activities"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https://www.hiascend.com/zh/activities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申请并成功成为昇腾HAE；（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"https://www.hiascend.com/zh/ecosystem/hae"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https://www.hiascend.com/zh/ecosystem/hae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在昇腾论坛发表原创帖，至少1篇被评选为精华帖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"https://www.hiascend.com/forum/"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0000FF"/>
                <w:sz w:val="18"/>
                <w:szCs w:val="18"/>
              </w:rPr>
              <w:t>https://www.hiascend.com/forum/</w:t>
            </w:r>
            <w:r>
              <w:rPr>
                <w:rStyle w:val="3"/>
                <w:rFonts w:hint="eastAsia" w:ascii="宋体" w:hAnsi="宋体" w:eastAsia="宋体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昇腾社区个人成长值达到L3或以上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"https://www.hiascend.com/profile"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0000FF"/>
                <w:sz w:val="18"/>
                <w:szCs w:val="18"/>
              </w:rPr>
              <w:t>https://www.hiascend.com/profile</w:t>
            </w:r>
            <w:r>
              <w:rPr>
                <w:rStyle w:val="3"/>
                <w:rFonts w:hint="eastAsia" w:ascii="宋体" w:hAnsi="宋体" w:eastAsia="宋体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在华为及第三方开发者活动中作基于昇腾的议题分享；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（举证材料：主题报告）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参加并完成昇腾众智项目的关键贡献（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"https://www.hiascend.com/zh/ecosystem/all-wisdom"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https://www.hiascend.com/zh/ecosystem/all-wisdom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参加昇腾优才实习计划并成功取得实习机会（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"https://edu.hicomputing.huawei.com/ecosystem/internship-program/ascend?tag=study"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https://edu.hicomputing.huawei.com/ecosystem/internship-program/ascend?tag=study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或获得昇思MindSpore开源实习实习证明（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HYPERLINK "https://internship.mindspore.cn/zh/internship/"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https://internship.mindspore.cn/zh/internship/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参与“昇思MindSpore社区成长激励体系”招募，获得昇思MindSpore优秀开发者及以上等级称号。（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"https://www.mindspore.cn/community/developer"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https://www.mindspore.cn/community/developer</w:t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4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完成华为云开发者认证&gt;=1门：（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 HYPERLINK "https://edu.huaweicloud.com/certificationindex" \l "section-5"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https://edu.huaweicloud.com/certificationindex#section-5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或 华为云微认证&gt;=2门（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instrText xml:space="preserve">HYPERLINK "https://edu.huaweicloud.com/certificationindex"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</w:rPr>
              <w:t>https://edu.huaweicloud.com/certificationindex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，有效微认证项目见附表1）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</w:p>
        </w:tc>
        <w:tc>
          <w:tcPr>
            <w:tcW w:w="4778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基于华为云服务（推荐使用MRS、数据湖探索DLI、AI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台ModelArts、云容器CCE、CodeArts等）开展创新，在各类竞赛或创新活动中成功提交作品，取得校级及以上优秀名次。包括但不限于中国“互联网+”创新创业大赛、大学生创新创业训练计划、华为软件精英挑战赛等竞赛（举证材料：项目简介、获奖证书）；</w:t>
            </w:r>
          </w:p>
          <w:p>
            <w:pPr>
              <w:pStyle w:val="5"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基于华为云关键技术的优秀实践设计分享到华为云平台；（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"https://edu.huaweicloud.com/courses"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shd w:val="clear" w:color="auto" w:fill="F7F7F7"/>
              </w:rPr>
              <w:t>https://edu.huaweicloud.com/courses</w:t>
            </w:r>
            <w:r>
              <w:rPr>
                <w:rStyle w:val="3"/>
                <w:rFonts w:hint="eastAsia" w:ascii="宋体" w:hAnsi="宋体" w:eastAsia="宋体" w:cs="宋体"/>
                <w:shd w:val="clear" w:color="auto" w:fill="F7F7F7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5"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参与智能基座社团俱乐部，作为核心骨干组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织和主导基于华为云关键技术的实践工作，创新成果突出。</w:t>
            </w:r>
          </w:p>
        </w:tc>
      </w:tr>
    </w:tbl>
    <w:p>
      <w:pPr>
        <w:snapToGrid w:val="0"/>
        <w:spacing w:before="156" w:beforeLines="50"/>
        <w:jc w:val="left"/>
        <w:rPr>
          <w:rFonts w:hint="eastAsia" w:ascii="宋体" w:hAnsi="宋体" w:eastAsia="宋体" w:cs="宋体"/>
          <w:b/>
        </w:rPr>
      </w:pPr>
    </w:p>
    <w:p>
      <w:pPr>
        <w:snapToGrid w:val="0"/>
        <w:spacing w:before="156" w:beforeLines="50"/>
        <w:rPr>
          <w:rFonts w:hint="eastAsia" w:ascii="宋体" w:hAnsi="宋体" w:eastAsia="宋体" w:cs="宋体"/>
          <w:b/>
        </w:rPr>
      </w:pPr>
    </w:p>
    <w:p>
      <w:pPr>
        <w:snapToGrid w:val="0"/>
        <w:spacing w:before="156" w:beforeLines="50"/>
        <w:rPr>
          <w:rFonts w:hint="eastAsia" w:ascii="宋体" w:hAnsi="宋体" w:eastAsia="宋体" w:cs="宋体"/>
          <w:b/>
        </w:rPr>
      </w:pPr>
    </w:p>
    <w:p>
      <w:pPr>
        <w:snapToGrid w:val="0"/>
        <w:spacing w:before="156" w:beforeLines="50"/>
        <w:rPr>
          <w:rFonts w:hint="eastAsia" w:ascii="宋体" w:hAnsi="宋体" w:eastAsia="宋体" w:cs="宋体"/>
          <w:b/>
        </w:rPr>
      </w:pPr>
    </w:p>
    <w:p>
      <w:pPr>
        <w:snapToGrid w:val="0"/>
        <w:spacing w:before="156" w:beforeLines="50"/>
        <w:rPr>
          <w:rFonts w:hint="eastAsia" w:ascii="宋体" w:hAnsi="宋体" w:eastAsia="宋体" w:cs="宋体"/>
          <w:b/>
        </w:rPr>
      </w:pPr>
    </w:p>
    <w:p>
      <w:pPr>
        <w:snapToGrid w:val="0"/>
        <w:spacing w:before="156" w:beforeLines="5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附表1：华为云方向的有效微认证清单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9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22"/>
              </w:rPr>
              <w:t>华为云技术类别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22"/>
              </w:rPr>
              <w:t>微认证清单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云计算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华为云计算服务实践、华为云存储服务实践、华为云上两地三中心实践、轻松玩转kubernets、区块链部署弹珠游戏模拟资产变化、云容器快速搭建网站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人工智能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基于Modelarts的安全帽监测、华为云自动学习之垃圾分类、智能声音识别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modelarts实现智能花卉识别、基于图引擎的医药查询系统、使用Mindspore训练手写数字识别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鲲鹏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华为云鲲鹏弹性云服务器高可用性架构实践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大数据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基于Spark实现车主驾驶行为分析、球星薪酬决定性因素分析、基于流计算的双十一大屏开发案例、使用DLI Flink SQL进行电商实时业务数据开发分析、逃杀游戏数据分析、黑色星期五消费者行为研究、网站消费者行为分析、外卖红包推送策略及菜品推荐、车联网大数据驾驶行为分析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数据库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基于MongoDB使用Java实现图书管理系统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物联网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基于物联网平台构建智慧路灯应用、基于物联网平台的自贩机销量分析、物联网智慧烟感报警系统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开发与运维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2"/>
              </w:rPr>
              <w:t>Ansible自动化部署LNMP、一分钟自动化部署、基于分布式文件系统的人才云招聘平台实践、企业网站项目测试实战、基于鲲鹏架构的飞机大战游戏、基于华为云DevCloud的托马斯商城、搭建个人博客平台、黑白棋实时对战游戏开发、DevCloud微服务电商平台开发</w:t>
            </w:r>
          </w:p>
        </w:tc>
      </w:tr>
    </w:tbl>
    <w:p>
      <w:pPr>
        <w:jc w:val="lef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585"/>
    <w:multiLevelType w:val="multilevel"/>
    <w:tmpl w:val="138C058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B2B71"/>
    <w:multiLevelType w:val="multilevel"/>
    <w:tmpl w:val="265B2B7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8185B"/>
    <w:multiLevelType w:val="multilevel"/>
    <w:tmpl w:val="35F8185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837B4B"/>
    <w:multiLevelType w:val="multilevel"/>
    <w:tmpl w:val="3E837B4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D33D11"/>
    <w:multiLevelType w:val="multilevel"/>
    <w:tmpl w:val="6BD33D1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F064F6"/>
    <w:multiLevelType w:val="multilevel"/>
    <w:tmpl w:val="70F064F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1226EA"/>
    <w:multiLevelType w:val="multilevel"/>
    <w:tmpl w:val="7B1226E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32154"/>
    <w:rsid w:val="3E030F14"/>
    <w:rsid w:val="3EB32154"/>
    <w:rsid w:val="560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表样式"/>
    <w:basedOn w:val="4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shd w:val="clear" w:color="auto" w:fill="auto"/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2023-06-06T09:23:00Z</dcterms:created>
  <dc:creator>lenovo</dc:creator>
  <cp:lastModifiedBy>lenovo</cp:lastModifiedBy>
  <cp:lastPrinted>2023-06-08T09:21:44Z</cp:lastPrinted>
  <dcterms:modified xsi:type="dcterms:W3CDTF">2023-06-08T09:22:25Z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