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60" w:lineRule="auto"/>
        <w:jc w:val="both"/>
        <w:rPr>
          <w:rFonts w:hint="eastAsia" w:eastAsia="微软雅黑"/>
          <w:lang w:val="en-US" w:eastAsia="zh-CN"/>
        </w:rPr>
      </w:pPr>
      <w:r>
        <w:rPr>
          <w:rFonts w:hint="eastAsia"/>
          <w:lang w:eastAsia="zh-CN"/>
        </w:rPr>
        <w:t>附件</w:t>
      </w:r>
      <w:r>
        <w:rPr>
          <w:rFonts w:hint="eastAsia"/>
          <w:lang w:val="en-US" w:eastAsia="zh-CN"/>
        </w:rPr>
        <w:t>2</w:t>
      </w:r>
    </w:p>
    <w:p>
      <w:pPr>
        <w:pStyle w:val="4"/>
        <w:spacing w:line="360" w:lineRule="auto"/>
        <w:jc w:val="center"/>
      </w:pPr>
      <w:r>
        <w:rPr>
          <w:b/>
          <w:color w:val="323E4F"/>
          <w:sz w:val="72"/>
          <w:szCs w:val="72"/>
        </w:rPr>
        <w:t>暨南大学</w:t>
      </w:r>
    </w:p>
    <w:p>
      <w:pPr>
        <w:pStyle w:val="4"/>
        <w:spacing w:line="360" w:lineRule="auto"/>
        <w:jc w:val="center"/>
      </w:pPr>
      <w:r>
        <w:rPr>
          <w:b/>
          <w:color w:val="323E4F"/>
          <w:sz w:val="60"/>
          <w:szCs w:val="60"/>
        </w:rPr>
        <w:t>通识选修课开课申请操作手册</w:t>
      </w:r>
    </w:p>
    <w:p>
      <w:pPr>
        <w:pStyle w:val="4"/>
        <w:spacing w:line="360" w:lineRule="auto"/>
        <w:jc w:val="center"/>
      </w:pPr>
    </w:p>
    <w:p>
      <w:pPr>
        <w:pStyle w:val="4"/>
        <w:spacing w:line="360" w:lineRule="auto"/>
        <w:jc w:val="left"/>
      </w:pPr>
    </w:p>
    <w:p>
      <w:pPr>
        <w:pStyle w:val="4"/>
        <w:spacing w:line="360" w:lineRule="auto"/>
        <w:jc w:val="left"/>
      </w:pPr>
    </w:p>
    <w:p>
      <w:pPr>
        <w:pStyle w:val="4"/>
        <w:spacing w:line="360" w:lineRule="auto"/>
        <w:jc w:val="left"/>
      </w:pPr>
    </w:p>
    <w:p>
      <w:pPr>
        <w:pStyle w:val="4"/>
        <w:spacing w:line="360" w:lineRule="auto"/>
        <w:jc w:val="left"/>
      </w:pPr>
    </w:p>
    <w:p>
      <w:pPr>
        <w:pStyle w:val="4"/>
        <w:spacing w:line="360" w:lineRule="auto"/>
        <w:jc w:val="left"/>
      </w:pPr>
    </w:p>
    <w:p>
      <w:pPr>
        <w:pStyle w:val="4"/>
        <w:spacing w:line="360" w:lineRule="auto"/>
        <w:jc w:val="left"/>
      </w:pPr>
    </w:p>
    <w:p>
      <w:pPr>
        <w:pStyle w:val="4"/>
        <w:spacing w:line="360" w:lineRule="auto"/>
        <w:jc w:val="left"/>
      </w:pPr>
    </w:p>
    <w:p>
      <w:pPr>
        <w:pStyle w:val="4"/>
        <w:spacing w:line="360" w:lineRule="auto"/>
        <w:jc w:val="left"/>
      </w:pPr>
    </w:p>
    <w:p>
      <w:pPr>
        <w:pStyle w:val="4"/>
        <w:spacing w:line="360" w:lineRule="auto"/>
        <w:jc w:val="left"/>
      </w:pPr>
    </w:p>
    <w:p>
      <w:pPr>
        <w:pStyle w:val="4"/>
        <w:spacing w:line="360" w:lineRule="auto"/>
        <w:jc w:val="center"/>
      </w:pPr>
      <w:r>
        <w:rPr>
          <w:rFonts w:ascii="黑体" w:hAnsi="黑体" w:eastAsia="黑体" w:cs="黑体"/>
          <w:b/>
          <w:sz w:val="36"/>
          <w:szCs w:val="36"/>
        </w:rPr>
        <w:t>2020年 10月</w:t>
      </w:r>
    </w:p>
    <w:p>
      <w:pPr>
        <w:pStyle w:val="4"/>
        <w:spacing w:line="360" w:lineRule="auto"/>
        <w:ind w:left="240" w:firstLine="420"/>
        <w:jc w:val="left"/>
      </w:pPr>
    </w:p>
    <w:p>
      <w:pPr>
        <w:pStyle w:val="4"/>
        <w:spacing w:line="360" w:lineRule="auto"/>
        <w:jc w:val="center"/>
      </w:pPr>
      <w:r>
        <w:drawing>
          <wp:inline distT="0" distB="0" distL="0" distR="0">
            <wp:extent cx="1361440" cy="601345"/>
            <wp:effectExtent l="0" t="0" r="10160" b="8255"/>
            <wp:docPr id="1" name="Drawing 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图片"/>
                    <pic:cNvPicPr>
                      <a:picLocks noChangeAspect="1"/>
                    </pic:cNvPicPr>
                  </pic:nvPicPr>
                  <pic:blipFill>
                    <a:blip r:embed="rId4"/>
                    <a:stretch>
                      <a:fillRect/>
                    </a:stretch>
                  </pic:blipFill>
                  <pic:spPr>
                    <a:xfrm>
                      <a:off x="0" y="0"/>
                      <a:ext cx="1361440" cy="601796"/>
                    </a:xfrm>
                    <a:prstGeom prst="rect">
                      <a:avLst/>
                    </a:prstGeom>
                  </pic:spPr>
                </pic:pic>
              </a:graphicData>
            </a:graphic>
          </wp:inline>
        </w:drawing>
      </w:r>
    </w:p>
    <w:p>
      <w:pPr>
        <w:pStyle w:val="4"/>
        <w:spacing w:line="360" w:lineRule="auto"/>
        <w:jc w:val="center"/>
      </w:pPr>
    </w:p>
    <w:p>
      <w:pPr>
        <w:pStyle w:val="4"/>
        <w:spacing w:line="360" w:lineRule="auto"/>
        <w:jc w:val="left"/>
      </w:pPr>
      <w:r>
        <w:br w:type="textWrapping"/>
      </w:r>
    </w:p>
    <w:p>
      <w:pPr>
        <w:pStyle w:val="4"/>
        <w:spacing w:line="360" w:lineRule="auto"/>
        <w:jc w:val="center"/>
        <w:rPr>
          <w:rFonts w:hint="eastAsia" w:ascii="黑体" w:hAnsi="黑体" w:eastAsia="黑体" w:cs="黑体"/>
          <w:sz w:val="52"/>
          <w:szCs w:val="52"/>
        </w:rPr>
      </w:pPr>
      <w:r>
        <w:rPr>
          <w:rFonts w:hint="eastAsia" w:ascii="黑体" w:hAnsi="黑体" w:eastAsia="黑体" w:cs="黑体"/>
          <w:sz w:val="52"/>
          <w:szCs w:val="52"/>
        </w:rPr>
        <w:t>目录</w:t>
      </w:r>
    </w:p>
    <w:p>
      <w:pPr>
        <w:pStyle w:val="4"/>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eastAsia" w:ascii="黑体" w:hAnsi="黑体" w:eastAsia="黑体" w:cs="黑体"/>
          <w:sz w:val="40"/>
          <w:szCs w:val="40"/>
        </w:rPr>
      </w:pPr>
    </w:p>
    <w:p>
      <w:pPr>
        <w:pStyle w:val="4"/>
        <w:keepNext w:val="0"/>
        <w:keepLines w:val="0"/>
        <w:pageBreakBefore w:val="0"/>
        <w:widowControl/>
        <w:kinsoku/>
        <w:wordWrap/>
        <w:overflowPunct/>
        <w:topLinePunct w:val="0"/>
        <w:autoSpaceDE/>
        <w:autoSpaceDN/>
        <w:bidi w:val="0"/>
        <w:adjustRightInd/>
        <w:snapToGrid/>
        <w:spacing w:line="480" w:lineRule="auto"/>
        <w:jc w:val="left"/>
        <w:textAlignment w:val="auto"/>
        <w:outlineLvl w:val="9"/>
        <w:rPr>
          <w:rFonts w:hint="eastAsia" w:ascii="黑体" w:hAnsi="黑体" w:eastAsia="黑体" w:cs="黑体"/>
          <w:b/>
          <w:sz w:val="36"/>
          <w:szCs w:val="36"/>
        </w:rPr>
      </w:pPr>
      <w:r>
        <w:rPr>
          <w:rFonts w:hint="eastAsia" w:ascii="黑体" w:hAnsi="黑体" w:eastAsia="黑体" w:cs="黑体"/>
          <w:color w:val="auto"/>
          <w:sz w:val="36"/>
          <w:szCs w:val="36"/>
          <w:u w:val="none"/>
        </w:rPr>
        <w:t>1 系统介绍</w:t>
      </w:r>
      <w:r>
        <w:rPr>
          <w:rFonts w:hint="eastAsia" w:ascii="黑体" w:hAnsi="黑体" w:eastAsia="黑体" w:cs="黑体"/>
          <w:b/>
          <w:sz w:val="36"/>
          <w:szCs w:val="36"/>
        </w:rPr>
        <w:t xml:space="preserve"> </w:t>
      </w:r>
    </w:p>
    <w:p>
      <w:pPr>
        <w:pStyle w:val="4"/>
        <w:keepNext w:val="0"/>
        <w:keepLines w:val="0"/>
        <w:pageBreakBefore w:val="0"/>
        <w:widowControl/>
        <w:kinsoku/>
        <w:wordWrap/>
        <w:overflowPunct/>
        <w:topLinePunct w:val="0"/>
        <w:autoSpaceDE/>
        <w:autoSpaceDN/>
        <w:bidi w:val="0"/>
        <w:adjustRightInd/>
        <w:snapToGrid/>
        <w:spacing w:line="480" w:lineRule="auto"/>
        <w:jc w:val="left"/>
        <w:textAlignment w:val="auto"/>
        <w:outlineLvl w:val="9"/>
        <w:rPr>
          <w:rFonts w:hint="eastAsia" w:ascii="黑体" w:hAnsi="黑体" w:eastAsia="黑体" w:cs="黑体"/>
          <w:sz w:val="36"/>
          <w:szCs w:val="36"/>
        </w:rPr>
      </w:pPr>
      <w:r>
        <w:rPr>
          <w:rFonts w:hint="eastAsia" w:ascii="黑体" w:hAnsi="黑体" w:eastAsia="黑体" w:cs="黑体"/>
          <w:color w:val="auto"/>
          <w:sz w:val="36"/>
          <w:szCs w:val="36"/>
          <w:u w:val="none"/>
        </w:rPr>
        <w:t>2 系统使用</w:t>
      </w:r>
    </w:p>
    <w:p>
      <w:pPr>
        <w:pStyle w:val="4"/>
        <w:keepNext w:val="0"/>
        <w:keepLines w:val="0"/>
        <w:pageBreakBefore w:val="0"/>
        <w:widowControl/>
        <w:kinsoku/>
        <w:wordWrap/>
        <w:overflowPunct/>
        <w:topLinePunct w:val="0"/>
        <w:autoSpaceDE/>
        <w:autoSpaceDN/>
        <w:bidi w:val="0"/>
        <w:adjustRightInd/>
        <w:snapToGrid/>
        <w:spacing w:line="480" w:lineRule="auto"/>
        <w:jc w:val="left"/>
        <w:textAlignment w:val="auto"/>
        <w:outlineLvl w:val="9"/>
        <w:rPr>
          <w:rFonts w:hint="eastAsia" w:ascii="黑体" w:hAnsi="黑体" w:eastAsia="黑体" w:cs="黑体"/>
          <w:sz w:val="36"/>
          <w:szCs w:val="36"/>
        </w:rPr>
      </w:pPr>
      <w:r>
        <w:rPr>
          <w:rFonts w:hint="eastAsia" w:ascii="黑体" w:hAnsi="黑体" w:eastAsia="黑体" w:cs="黑体"/>
          <w:color w:val="auto"/>
          <w:sz w:val="36"/>
          <w:szCs w:val="36"/>
          <w:u w:val="none"/>
        </w:rPr>
        <w:t>2.1 通识</w:t>
      </w:r>
      <w:r>
        <w:rPr>
          <w:rFonts w:hint="eastAsia" w:ascii="黑体" w:hAnsi="黑体" w:eastAsia="黑体" w:cs="黑体"/>
          <w:color w:val="auto"/>
          <w:sz w:val="36"/>
          <w:szCs w:val="36"/>
          <w:u w:val="none"/>
          <w:lang w:eastAsia="zh-CN"/>
        </w:rPr>
        <w:t>教育</w:t>
      </w:r>
      <w:r>
        <w:rPr>
          <w:rFonts w:hint="eastAsia" w:ascii="黑体" w:hAnsi="黑体" w:eastAsia="黑体" w:cs="黑体"/>
          <w:color w:val="auto"/>
          <w:sz w:val="36"/>
          <w:szCs w:val="36"/>
          <w:u w:val="none"/>
        </w:rPr>
        <w:t>选修课申请</w:t>
      </w:r>
      <w:r>
        <w:rPr>
          <w:rFonts w:hint="eastAsia" w:ascii="黑体" w:hAnsi="黑体" w:eastAsia="黑体" w:cs="黑体"/>
          <w:sz w:val="36"/>
          <w:szCs w:val="36"/>
        </w:rPr>
        <w:t xml:space="preserve"> </w:t>
      </w:r>
    </w:p>
    <w:p>
      <w:pPr>
        <w:pStyle w:val="4"/>
        <w:keepNext w:val="0"/>
        <w:keepLines w:val="0"/>
        <w:pageBreakBefore w:val="0"/>
        <w:widowControl/>
        <w:kinsoku/>
        <w:wordWrap/>
        <w:overflowPunct/>
        <w:topLinePunct w:val="0"/>
        <w:autoSpaceDE/>
        <w:autoSpaceDN/>
        <w:bidi w:val="0"/>
        <w:adjustRightInd/>
        <w:snapToGrid/>
        <w:spacing w:line="480" w:lineRule="auto"/>
        <w:ind w:left="240"/>
        <w:jc w:val="left"/>
        <w:textAlignment w:val="auto"/>
        <w:outlineLvl w:val="9"/>
        <w:rPr>
          <w:rFonts w:hint="eastAsia" w:ascii="黑体" w:hAnsi="黑体" w:eastAsia="黑体" w:cs="黑体"/>
          <w:color w:val="auto"/>
          <w:sz w:val="36"/>
          <w:szCs w:val="36"/>
          <w:u w:val="none"/>
        </w:rPr>
      </w:pPr>
      <w:r>
        <w:rPr>
          <w:rFonts w:hint="eastAsia" w:ascii="黑体" w:hAnsi="黑体" w:eastAsia="黑体" w:cs="黑体"/>
          <w:color w:val="auto"/>
          <w:sz w:val="36"/>
          <w:szCs w:val="36"/>
          <w:u w:val="none"/>
        </w:rPr>
        <w:t>2.1.1 本学期开课</w:t>
      </w:r>
    </w:p>
    <w:p>
      <w:pPr>
        <w:pStyle w:val="4"/>
        <w:keepNext w:val="0"/>
        <w:keepLines w:val="0"/>
        <w:pageBreakBefore w:val="0"/>
        <w:widowControl/>
        <w:kinsoku/>
        <w:wordWrap/>
        <w:overflowPunct/>
        <w:topLinePunct w:val="0"/>
        <w:autoSpaceDE/>
        <w:autoSpaceDN/>
        <w:bidi w:val="0"/>
        <w:adjustRightInd/>
        <w:snapToGrid/>
        <w:spacing w:line="480" w:lineRule="auto"/>
        <w:ind w:left="240"/>
        <w:jc w:val="left"/>
        <w:textAlignment w:val="auto"/>
        <w:outlineLvl w:val="9"/>
        <w:rPr>
          <w:rFonts w:hint="eastAsia" w:ascii="黑体" w:hAnsi="黑体" w:eastAsia="黑体" w:cs="黑体"/>
          <w:color w:val="auto"/>
          <w:sz w:val="36"/>
          <w:szCs w:val="36"/>
          <w:u w:val="none"/>
          <w:lang w:val="en-US" w:eastAsia="zh-CN"/>
        </w:rPr>
      </w:pPr>
      <w:r>
        <w:rPr>
          <w:rFonts w:hint="eastAsia" w:ascii="黑体" w:hAnsi="黑体" w:eastAsia="黑体" w:cs="黑体"/>
          <w:color w:val="auto"/>
          <w:sz w:val="36"/>
          <w:szCs w:val="36"/>
          <w:u w:val="none"/>
          <w:lang w:val="en-US" w:eastAsia="zh-CN"/>
        </w:rPr>
        <w:t xml:space="preserve">   2.1.1.1  续开课申请</w:t>
      </w:r>
    </w:p>
    <w:p>
      <w:pPr>
        <w:pStyle w:val="4"/>
        <w:keepNext w:val="0"/>
        <w:keepLines w:val="0"/>
        <w:pageBreakBefore w:val="0"/>
        <w:widowControl/>
        <w:kinsoku/>
        <w:wordWrap/>
        <w:overflowPunct/>
        <w:topLinePunct w:val="0"/>
        <w:autoSpaceDE/>
        <w:autoSpaceDN/>
        <w:bidi w:val="0"/>
        <w:adjustRightInd/>
        <w:snapToGrid/>
        <w:spacing w:line="480" w:lineRule="auto"/>
        <w:ind w:left="240"/>
        <w:jc w:val="left"/>
        <w:textAlignment w:val="auto"/>
        <w:outlineLvl w:val="9"/>
        <w:rPr>
          <w:rFonts w:hint="eastAsia" w:ascii="黑体" w:hAnsi="黑体" w:eastAsia="黑体" w:cs="黑体"/>
          <w:color w:val="auto"/>
          <w:sz w:val="36"/>
          <w:szCs w:val="36"/>
          <w:u w:val="none"/>
          <w:lang w:val="en-US" w:eastAsia="zh-CN"/>
        </w:rPr>
      </w:pPr>
      <w:r>
        <w:rPr>
          <w:rFonts w:hint="eastAsia" w:ascii="黑体" w:hAnsi="黑体" w:eastAsia="黑体" w:cs="黑体"/>
          <w:color w:val="auto"/>
          <w:sz w:val="36"/>
          <w:szCs w:val="36"/>
          <w:u w:val="none"/>
          <w:lang w:val="en-US" w:eastAsia="zh-CN"/>
        </w:rPr>
        <w:t xml:space="preserve">   2.1.1.2  新开课申请</w:t>
      </w:r>
    </w:p>
    <w:p>
      <w:pPr>
        <w:pStyle w:val="4"/>
        <w:keepNext w:val="0"/>
        <w:keepLines w:val="0"/>
        <w:pageBreakBefore w:val="0"/>
        <w:widowControl/>
        <w:kinsoku/>
        <w:wordWrap/>
        <w:overflowPunct/>
        <w:topLinePunct w:val="0"/>
        <w:autoSpaceDE/>
        <w:autoSpaceDN/>
        <w:bidi w:val="0"/>
        <w:adjustRightInd/>
        <w:snapToGrid/>
        <w:spacing w:line="480" w:lineRule="auto"/>
        <w:ind w:left="240"/>
        <w:jc w:val="left"/>
        <w:textAlignment w:val="auto"/>
        <w:outlineLvl w:val="9"/>
        <w:rPr>
          <w:rFonts w:hint="eastAsia" w:ascii="黑体" w:hAnsi="黑体" w:eastAsia="黑体" w:cs="黑体"/>
          <w:color w:val="auto"/>
          <w:sz w:val="36"/>
          <w:szCs w:val="36"/>
          <w:u w:val="none"/>
        </w:rPr>
      </w:pPr>
      <w:r>
        <w:rPr>
          <w:rFonts w:hint="eastAsia" w:ascii="黑体" w:hAnsi="黑体" w:eastAsia="黑体" w:cs="黑体"/>
          <w:color w:val="auto"/>
          <w:sz w:val="36"/>
          <w:szCs w:val="36"/>
          <w:u w:val="none"/>
        </w:rPr>
        <w:t>2.1.2 历年任务</w:t>
      </w:r>
    </w:p>
    <w:p>
      <w:pPr>
        <w:pStyle w:val="4"/>
        <w:keepNext w:val="0"/>
        <w:keepLines w:val="0"/>
        <w:pageBreakBefore w:val="0"/>
        <w:widowControl/>
        <w:kinsoku/>
        <w:wordWrap/>
        <w:overflowPunct/>
        <w:topLinePunct w:val="0"/>
        <w:autoSpaceDE/>
        <w:autoSpaceDN/>
        <w:bidi w:val="0"/>
        <w:adjustRightInd/>
        <w:snapToGrid/>
        <w:spacing w:line="480" w:lineRule="auto"/>
        <w:jc w:val="left"/>
        <w:textAlignment w:val="auto"/>
        <w:outlineLvl w:val="9"/>
        <w:rPr>
          <w:rFonts w:hint="eastAsia" w:ascii="黑体" w:hAnsi="黑体" w:eastAsia="黑体" w:cs="黑体"/>
          <w:color w:val="auto"/>
          <w:sz w:val="36"/>
          <w:szCs w:val="36"/>
          <w:u w:val="none"/>
          <w:lang w:val="en-US" w:eastAsia="zh-CN"/>
        </w:rPr>
      </w:pPr>
      <w:r>
        <w:rPr>
          <w:rFonts w:hint="eastAsia" w:ascii="黑体" w:hAnsi="黑体" w:eastAsia="黑体" w:cs="黑体"/>
          <w:color w:val="auto"/>
          <w:sz w:val="36"/>
          <w:szCs w:val="36"/>
          <w:u w:val="none"/>
          <w:lang w:val="en-US" w:eastAsia="zh-CN"/>
        </w:rPr>
        <w:t>2.2  汇总表导出（学院）</w:t>
      </w: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4"/>
        <w:spacing w:line="360" w:lineRule="auto"/>
        <w:jc w:val="center"/>
        <w:rPr>
          <w:rFonts w:hint="eastAsia" w:ascii="黑体" w:hAnsi="黑体" w:eastAsia="黑体" w:cs="黑体"/>
        </w:rPr>
      </w:pPr>
    </w:p>
    <w:p>
      <w:pPr>
        <w:pStyle w:val="7"/>
        <w:keepNext w:val="0"/>
        <w:keepLines w:val="0"/>
        <w:pageBreakBefore w:val="0"/>
        <w:widowControl/>
        <w:numPr>
          <w:ilvl w:val="0"/>
          <w:numId w:val="1"/>
        </w:numPr>
        <w:kinsoku/>
        <w:wordWrap/>
        <w:overflowPunct/>
        <w:topLinePunct w:val="0"/>
        <w:autoSpaceDE/>
        <w:autoSpaceDN/>
        <w:bidi w:val="0"/>
        <w:adjustRightInd/>
        <w:snapToGrid/>
        <w:spacing w:before="720" w:line="560" w:lineRule="exact"/>
        <w:ind w:firstLine="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系统介绍</w:t>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通识选修课申请主要是教师或者院系根据实际情况申请开设通识选修课，申请后提交到院系或者教务处审核，同时可以查看历年申请的通识选修课程记录。</w:t>
      </w:r>
    </w:p>
    <w:p>
      <w:pPr>
        <w:pStyle w:val="7"/>
        <w:keepNext w:val="0"/>
        <w:keepLines w:val="0"/>
        <w:pageBreakBefore w:val="0"/>
        <w:widowControl/>
        <w:numPr>
          <w:ilvl w:val="0"/>
          <w:numId w:val="1"/>
        </w:numPr>
        <w:kinsoku/>
        <w:wordWrap/>
        <w:overflowPunct/>
        <w:topLinePunct w:val="0"/>
        <w:autoSpaceDE/>
        <w:autoSpaceDN/>
        <w:bidi w:val="0"/>
        <w:adjustRightInd/>
        <w:snapToGrid/>
        <w:spacing w:before="720" w:line="560" w:lineRule="exact"/>
        <w:ind w:firstLine="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系统使用</w:t>
      </w:r>
    </w:p>
    <w:p>
      <w:pPr>
        <w:pStyle w:val="8"/>
        <w:keepNext w:val="0"/>
        <w:keepLines w:val="0"/>
        <w:pageBreakBefore w:val="0"/>
        <w:widowControl/>
        <w:numPr>
          <w:ilvl w:val="1"/>
          <w:numId w:val="1"/>
        </w:numPr>
        <w:kinsoku/>
        <w:wordWrap/>
        <w:overflowPunct/>
        <w:topLinePunct w:val="0"/>
        <w:autoSpaceDE/>
        <w:autoSpaceDN/>
        <w:bidi w:val="0"/>
        <w:adjustRightInd/>
        <w:snapToGrid/>
        <w:spacing w:line="560" w:lineRule="exact"/>
        <w:ind w:firstLine="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通识选修课申请</w:t>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color w:val="FF0000"/>
          <w:sz w:val="28"/>
          <w:szCs w:val="28"/>
          <w:lang w:val="en-US" w:eastAsia="zh-CN"/>
        </w:rPr>
      </w:pPr>
      <w:r>
        <w:rPr>
          <w:rFonts w:hint="eastAsia" w:ascii="仿宋_GB2312" w:hAnsi="仿宋_GB2312" w:eastAsia="仿宋_GB2312" w:cs="仿宋_GB2312"/>
          <w:color w:val="FF0000"/>
          <w:sz w:val="28"/>
          <w:szCs w:val="28"/>
        </w:rPr>
        <w:t>路径：</w:t>
      </w:r>
      <w:r>
        <w:rPr>
          <w:rFonts w:hint="eastAsia" w:ascii="仿宋_GB2312" w:hAnsi="仿宋_GB2312" w:eastAsia="仿宋_GB2312" w:cs="仿宋_GB2312"/>
          <w:color w:val="FF0000"/>
          <w:sz w:val="28"/>
          <w:szCs w:val="28"/>
          <w:lang w:eastAsia="zh-CN"/>
        </w:rPr>
        <w:t>登录</w:t>
      </w:r>
      <w:r>
        <w:rPr>
          <w:rFonts w:hint="default" w:ascii="Times New Roman" w:hAnsi="Times New Roman" w:eastAsia="仿宋_GB2312" w:cs="Times New Roman"/>
          <w:color w:val="FF0000"/>
          <w:spacing w:val="-11"/>
          <w:sz w:val="32"/>
          <w:szCs w:val="32"/>
        </w:rPr>
        <w:t>https://jw.jnu.edu.cn/new/index.html</w:t>
      </w:r>
      <w:r>
        <w:rPr>
          <w:rFonts w:hint="eastAsia" w:ascii="Times New Roman" w:hAnsi="Times New Roman" w:eastAsia="仿宋_GB2312" w:cs="Times New Roman"/>
          <w:color w:val="FF0000"/>
          <w:spacing w:val="-11"/>
          <w:sz w:val="32"/>
          <w:szCs w:val="32"/>
          <w:lang w:eastAsia="zh-CN"/>
        </w:rPr>
        <w:t>（</w:t>
      </w:r>
      <w:r>
        <w:rPr>
          <w:rFonts w:hint="eastAsia" w:eastAsia="仿宋_GB2312" w:cs="Times New Roman"/>
          <w:color w:val="FF0000"/>
          <w:spacing w:val="-11"/>
          <w:sz w:val="32"/>
          <w:szCs w:val="32"/>
          <w:lang w:eastAsia="zh-CN"/>
        </w:rPr>
        <w:t>登录账号、密码与暨南大学主页门户相同</w:t>
      </w:r>
      <w:r>
        <w:rPr>
          <w:rFonts w:hint="eastAsia" w:ascii="Times New Roman" w:hAnsi="Times New Roman" w:eastAsia="仿宋_GB2312" w:cs="Times New Roman"/>
          <w:color w:val="FF0000"/>
          <w:spacing w:val="-11"/>
          <w:sz w:val="32"/>
          <w:szCs w:val="32"/>
          <w:lang w:eastAsia="zh-CN"/>
        </w:rPr>
        <w:t>）</w:t>
      </w:r>
      <w:r>
        <w:rPr>
          <w:rFonts w:hint="eastAsia" w:ascii="仿宋_GB2312" w:hAnsi="仿宋_GB2312" w:eastAsia="仿宋_GB2312" w:cs="仿宋_GB2312"/>
          <w:color w:val="FF0000"/>
          <w:sz w:val="28"/>
          <w:szCs w:val="28"/>
          <w:lang w:eastAsia="zh-CN"/>
        </w:rPr>
        <w:t>——可用应用（左侧菜单栏）——</w:t>
      </w:r>
      <w:r>
        <w:rPr>
          <w:rFonts w:hint="eastAsia" w:ascii="仿宋_GB2312" w:hAnsi="仿宋_GB2312" w:eastAsia="仿宋_GB2312" w:cs="仿宋_GB2312"/>
          <w:b/>
          <w:bCs/>
          <w:color w:val="FF0000"/>
          <w:sz w:val="28"/>
          <w:szCs w:val="28"/>
          <w:lang w:eastAsia="zh-CN"/>
        </w:rPr>
        <w:t>通识教育选修课开课申请</w:t>
      </w:r>
      <w:r>
        <w:rPr>
          <w:rFonts w:hint="eastAsia" w:ascii="仿宋_GB2312" w:hAnsi="仿宋_GB2312" w:eastAsia="仿宋_GB2312" w:cs="仿宋_GB2312"/>
          <w:color w:val="FF0000"/>
          <w:sz w:val="28"/>
          <w:szCs w:val="28"/>
          <w:lang w:eastAsia="zh-CN"/>
        </w:rPr>
        <w:t>。</w:t>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作用范围：申请通识教育选修课，可对还未审核通过的通识课申请进行撤回查看，也可对草稿状态通识选修课进行编辑，删除操作。</w:t>
      </w:r>
    </w:p>
    <w:p>
      <w:pPr>
        <w:pStyle w:val="4"/>
        <w:jc w:val="left"/>
        <w:rPr>
          <w:rFonts w:hint="eastAsia" w:eastAsia="微软雅黑"/>
          <w:lang w:eastAsia="zh-CN"/>
        </w:rPr>
      </w:pPr>
      <w:r>
        <w:drawing>
          <wp:inline distT="0" distB="0" distL="114300" distR="114300">
            <wp:extent cx="5258435" cy="3433445"/>
            <wp:effectExtent l="0" t="0" r="1841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58435" cy="3433445"/>
                    </a:xfrm>
                    <a:prstGeom prst="rect">
                      <a:avLst/>
                    </a:prstGeom>
                    <a:noFill/>
                    <a:ln w="9525">
                      <a:noFill/>
                    </a:ln>
                  </pic:spPr>
                </pic:pic>
              </a:graphicData>
            </a:graphic>
          </wp:inline>
        </w:drawing>
      </w:r>
    </w:p>
    <w:p>
      <w:pPr>
        <w:pStyle w:val="9"/>
        <w:keepNext w:val="0"/>
        <w:keepLines w:val="0"/>
        <w:pageBreakBefore w:val="0"/>
        <w:widowControl/>
        <w:numPr>
          <w:ilvl w:val="2"/>
          <w:numId w:val="1"/>
        </w:numPr>
        <w:kinsoku/>
        <w:wordWrap/>
        <w:overflowPunct/>
        <w:topLinePunct w:val="0"/>
        <w:autoSpaceDE/>
        <w:autoSpaceDN/>
        <w:bidi w:val="0"/>
        <w:adjustRightInd/>
        <w:snapToGrid/>
        <w:spacing w:before="720"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本学期开课</w:t>
      </w:r>
      <w:r>
        <w:rPr>
          <w:rFonts w:hint="eastAsia" w:ascii="仿宋_GB2312" w:hAnsi="仿宋_GB2312" w:eastAsia="仿宋_GB2312" w:cs="仿宋_GB2312"/>
          <w:sz w:val="28"/>
          <w:szCs w:val="28"/>
        </w:rPr>
        <w:t xml:space="preserve">  </w:t>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通识教育选修课申请分两种模式：第一种是续开课，第二种是申请一门新的通识教育选修课。</w:t>
      </w:r>
      <w:r>
        <w:rPr>
          <w:rFonts w:hint="eastAsia" w:ascii="仿宋_GB2312" w:hAnsi="仿宋_GB2312" w:eastAsia="仿宋_GB2312" w:cs="仿宋_GB2312"/>
          <w:sz w:val="28"/>
          <w:szCs w:val="28"/>
          <w:lang w:eastAsia="zh-CN"/>
        </w:rPr>
        <w:t>在</w:t>
      </w:r>
      <w:r>
        <w:rPr>
          <w:rFonts w:hint="eastAsia" w:ascii="仿宋_GB2312" w:hAnsi="仿宋_GB2312" w:eastAsia="仿宋_GB2312" w:cs="仿宋_GB2312"/>
          <w:sz w:val="28"/>
          <w:szCs w:val="28"/>
        </w:rPr>
        <w:t>本学期界面，可以查看当前申请的通识教育选修课开课信息</w:t>
      </w:r>
      <w:r>
        <w:rPr>
          <w:rFonts w:hint="eastAsia" w:ascii="仿宋_GB2312" w:hAnsi="仿宋_GB2312" w:eastAsia="仿宋_GB2312" w:cs="仿宋_GB2312"/>
          <w:sz w:val="28"/>
          <w:szCs w:val="28"/>
          <w:lang w:eastAsia="zh-CN"/>
        </w:rPr>
        <w:t>。</w:t>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highlight w:val="yellow"/>
          <w:lang w:eastAsia="zh-CN"/>
        </w:rPr>
      </w:pPr>
      <w:r>
        <w:rPr>
          <w:rFonts w:hint="eastAsia" w:ascii="仿宋_GB2312" w:hAnsi="仿宋_GB2312" w:eastAsia="仿宋_GB2312" w:cs="仿宋_GB2312"/>
          <w:sz w:val="28"/>
          <w:szCs w:val="28"/>
          <w:highlight w:val="yellow"/>
        </w:rPr>
        <w:t>备注：如果针对同一门课程需要开多个教学班，则需要申请多次</w:t>
      </w:r>
      <w:r>
        <w:rPr>
          <w:rFonts w:hint="eastAsia" w:ascii="仿宋_GB2312" w:hAnsi="仿宋_GB2312" w:eastAsia="仿宋_GB2312" w:cs="仿宋_GB2312"/>
          <w:sz w:val="28"/>
          <w:szCs w:val="28"/>
          <w:highlight w:val="yellow"/>
          <w:lang w:eastAsia="zh-CN"/>
        </w:rPr>
        <w:t>。</w:t>
      </w:r>
    </w:p>
    <w:p>
      <w:pPr>
        <w:pStyle w:val="4"/>
        <w:jc w:val="left"/>
      </w:pPr>
      <w:r>
        <w:drawing>
          <wp:inline distT="0" distB="0" distL="114300" distR="114300">
            <wp:extent cx="5267960" cy="1863725"/>
            <wp:effectExtent l="0" t="0" r="2540" b="31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267960" cy="1863725"/>
                    </a:xfrm>
                    <a:prstGeom prst="rect">
                      <a:avLst/>
                    </a:prstGeom>
                    <a:noFill/>
                    <a:ln>
                      <a:noFill/>
                    </a:ln>
                  </pic:spPr>
                </pic:pic>
              </a:graphicData>
            </a:graphic>
          </wp:inline>
        </w:drawing>
      </w:r>
    </w:p>
    <w:p>
      <w:pPr>
        <w:pStyle w:val="4"/>
        <w:keepNext w:val="0"/>
        <w:keepLines w:val="0"/>
        <w:pageBreakBefore w:val="0"/>
        <w:widowControl/>
        <w:pBdr>
          <w:bottom w:val="single" w:color="auto" w:sz="4" w:space="0"/>
        </w:pBdr>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highlight w:val="yellow"/>
          <w:lang w:val="en-US" w:eastAsia="zh-CN"/>
        </w:rPr>
        <w:t xml:space="preserve">2.1.1.1  </w:t>
      </w:r>
      <w:r>
        <w:rPr>
          <w:rFonts w:hint="eastAsia" w:ascii="仿宋_GB2312" w:hAnsi="仿宋_GB2312" w:eastAsia="仿宋_GB2312" w:cs="仿宋_GB2312"/>
          <w:b/>
          <w:sz w:val="28"/>
          <w:szCs w:val="28"/>
          <w:highlight w:val="yellow"/>
        </w:rPr>
        <w:t>续开课</w:t>
      </w:r>
      <w:r>
        <w:rPr>
          <w:rFonts w:hint="eastAsia" w:ascii="仿宋_GB2312" w:hAnsi="仿宋_GB2312" w:eastAsia="仿宋_GB2312" w:cs="仿宋_GB2312"/>
          <w:sz w:val="28"/>
          <w:szCs w:val="28"/>
        </w:rPr>
        <w:t>（如果一门课程在最近两个学期内作为校公选课开课了，在本学期还要继续开设，则可以选择续开课）</w:t>
      </w:r>
    </w:p>
    <w:p>
      <w:pPr>
        <w:pStyle w:val="4"/>
        <w:keepNext w:val="0"/>
        <w:keepLines w:val="0"/>
        <w:pageBreakBefore w:val="0"/>
        <w:widowControl/>
        <w:pBdr>
          <w:bottom w:val="single" w:color="auto" w:sz="4" w:space="0"/>
        </w:pBdr>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操作步骤：</w:t>
      </w:r>
      <w:r>
        <w:rPr>
          <w:rFonts w:hint="eastAsia" w:ascii="仿宋_GB2312" w:hAnsi="仿宋_GB2312" w:eastAsia="仿宋_GB2312" w:cs="仿宋_GB2312"/>
          <w:b/>
          <w:color w:val="FF0000"/>
          <w:sz w:val="28"/>
          <w:szCs w:val="28"/>
        </w:rPr>
        <w:t>第一步</w:t>
      </w:r>
      <w:r>
        <w:rPr>
          <w:rFonts w:hint="eastAsia" w:ascii="仿宋_GB2312" w:hAnsi="仿宋_GB2312" w:eastAsia="仿宋_GB2312" w:cs="仿宋_GB2312"/>
          <w:sz w:val="28"/>
          <w:szCs w:val="28"/>
        </w:rPr>
        <w:t>：点击申请开课按钮，出现如下界面后，点击界面上的下一步</w:t>
      </w:r>
      <w:r>
        <w:rPr>
          <w:rFonts w:hint="eastAsia" w:ascii="仿宋_GB2312" w:hAnsi="仿宋_GB2312" w:eastAsia="仿宋_GB2312" w:cs="仿宋_GB2312"/>
          <w:sz w:val="28"/>
          <w:szCs w:val="28"/>
          <w:lang w:eastAsia="zh-CN"/>
        </w:rPr>
        <w:t>。</w:t>
      </w:r>
    </w:p>
    <w:p>
      <w:pPr>
        <w:pStyle w:val="4"/>
        <w:jc w:val="left"/>
      </w:pPr>
      <w:r>
        <w:rPr>
          <w:sz w:val="22"/>
        </w:rPr>
        <w:pict>
          <v:line id="_x0000_s1028" o:spid="_x0000_s1028" o:spt="20" style="position:absolute;left:0pt;flip:x;margin-left:222.15pt;margin-top:69.3pt;height:24.75pt;width:86.25pt;z-index:251660288;mso-width-relative:page;mso-height-relative:page;" filled="f" stroked="t" coordsize="21600,21600">
            <v:path arrowok="t"/>
            <v:fill on="f" focussize="0,0"/>
            <v:stroke color="#FF0000" endarrow="open"/>
            <v:imagedata o:title=""/>
            <o:lock v:ext="edit" aspectratio="f"/>
          </v:line>
        </w:pict>
      </w:r>
      <w:r>
        <w:rPr>
          <w:sz w:val="22"/>
        </w:rPr>
        <w:pict>
          <v:rect id="_x0000_s1027" o:spid="_x0000_s1027" o:spt="1" style="position:absolute;left:0pt;margin-left:141.15pt;margin-top:51.3pt;height:95.25pt;width:73.5pt;z-index:251659264;mso-width-relative:page;mso-height-relative:page;" filled="f" stroked="t" coordsize="21600,21600">
            <v:path/>
            <v:fill on="f" focussize="0,0"/>
            <v:stroke color="#FF0000"/>
            <v:imagedata o:title=""/>
            <o:lock v:ext="edit" aspectratio="f"/>
          </v:rect>
        </w:pict>
      </w:r>
      <w:r>
        <w:drawing>
          <wp:inline distT="0" distB="0" distL="114300" distR="114300">
            <wp:extent cx="5266055" cy="2155190"/>
            <wp:effectExtent l="0" t="0" r="4445"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66055" cy="2155190"/>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b/>
          <w:color w:val="FF0000"/>
          <w:sz w:val="28"/>
          <w:szCs w:val="28"/>
        </w:rPr>
        <w:t>第二步</w:t>
      </w:r>
      <w:r>
        <w:rPr>
          <w:rFonts w:hint="eastAsia" w:ascii="仿宋_GB2312" w:hAnsi="仿宋_GB2312" w:eastAsia="仿宋_GB2312" w:cs="仿宋_GB2312"/>
          <w:sz w:val="28"/>
          <w:szCs w:val="28"/>
        </w:rPr>
        <w:t>：点击下一步后出现课程选择界面（如下图），再界面选择课程后，点击下一步</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7325" cy="1890395"/>
            <wp:effectExtent l="0" t="0" r="9525" b="146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8"/>
                    <a:srcRect b="20444"/>
                    <a:stretch>
                      <a:fillRect/>
                    </a:stretch>
                  </pic:blipFill>
                  <pic:spPr>
                    <a:xfrm>
                      <a:off x="0" y="0"/>
                      <a:ext cx="5267325" cy="1890395"/>
                    </a:xfrm>
                    <a:prstGeom prst="rect">
                      <a:avLst/>
                    </a:prstGeom>
                    <a:noFill/>
                    <a:ln>
                      <a:noFill/>
                    </a:ln>
                  </pic:spPr>
                </pic:pic>
              </a:graphicData>
            </a:graphic>
          </wp:inline>
        </w:drawing>
      </w:r>
    </w:p>
    <w:p>
      <w:pPr>
        <w:pStyle w:val="4"/>
        <w:jc w:val="left"/>
        <w:rPr>
          <w:rFonts w:hint="eastAsia" w:eastAsia="微软雅黑"/>
          <w:lang w:eastAsia="zh-CN"/>
        </w:rPr>
      </w:pPr>
      <w:r>
        <w:rPr>
          <w:sz w:val="22"/>
        </w:rPr>
        <w:pict>
          <v:shape id="_x0000_s1031" o:spid="_x0000_s1031" o:spt="202" type="#_x0000_t202" style="position:absolute;left:0pt;margin-left:27.15pt;margin-top:133.1pt;height:30.75pt;width:220.5pt;z-index:251662336;mso-width-relative:page;mso-height-relative:page;" fillcolor="#FFFFFF" filled="t" stroked="t" coordsize="21600,21600">
            <v:path/>
            <v:fill on="t" color2="#FFFFFF" focussize="0,0"/>
            <v:stroke color="#000000"/>
            <v:imagedata o:title=""/>
            <o:lock v:ext="edit" aspectratio="f"/>
            <v:textbox>
              <w:txbxContent>
                <w:p>
                  <w:pPr>
                    <w:rPr>
                      <w:rFonts w:hint="eastAsia" w:eastAsia="微软雅黑"/>
                      <w:color w:val="FF0000"/>
                      <w:lang w:eastAsia="zh-CN"/>
                    </w:rPr>
                  </w:pPr>
                  <w:r>
                    <w:rPr>
                      <w:rFonts w:hint="eastAsia"/>
                      <w:color w:val="FF0000"/>
                      <w:lang w:eastAsia="zh-CN"/>
                    </w:rPr>
                    <w:t>可直接搜索课程名称或课程编号</w:t>
                  </w:r>
                </w:p>
              </w:txbxContent>
            </v:textbox>
          </v:shape>
        </w:pict>
      </w:r>
      <w:r>
        <w:rPr>
          <w:sz w:val="22"/>
        </w:rPr>
        <w:pict>
          <v:line id="_x0000_s1030" o:spid="_x0000_s1030" o:spt="20" style="position:absolute;left:0pt;flip:y;margin-left:61.7pt;margin-top:60.85pt;height:78.75pt;width:17.95pt;z-index:251661312;mso-width-relative:page;mso-height-relative:page;" fillcolor="#FFFFFF" filled="t" stroked="t" coordsize="21600,21600">
            <v:path arrowok="t"/>
            <v:fill on="t" color2="#FFFFFF" focussize="0,0"/>
            <v:stroke color="#FF0000" endarrow="open"/>
            <v:imagedata o:title=""/>
            <o:lock v:ext="edit" aspectratio="f"/>
          </v:line>
        </w:pict>
      </w:r>
      <w:r>
        <w:rPr>
          <w:rFonts w:hint="eastAsia" w:eastAsia="微软雅黑"/>
          <w:lang w:eastAsia="zh-CN"/>
        </w:rPr>
        <w:drawing>
          <wp:inline distT="0" distB="0" distL="114300" distR="114300">
            <wp:extent cx="5267960" cy="2657475"/>
            <wp:effectExtent l="0" t="0" r="8890" b="9525"/>
            <wp:docPr id="3" name="图片 3" descr="1604380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4380575(1)"/>
                    <pic:cNvPicPr>
                      <a:picLocks noChangeAspect="1"/>
                    </pic:cNvPicPr>
                  </pic:nvPicPr>
                  <pic:blipFill>
                    <a:blip r:embed="rId9"/>
                    <a:srcRect t="10032" b="23328"/>
                    <a:stretch>
                      <a:fillRect/>
                    </a:stretch>
                  </pic:blipFill>
                  <pic:spPr>
                    <a:xfrm>
                      <a:off x="0" y="0"/>
                      <a:ext cx="5267960" cy="2657475"/>
                    </a:xfrm>
                    <a:prstGeom prst="rect">
                      <a:avLst/>
                    </a:prstGeom>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b/>
          <w:color w:val="FF0000"/>
          <w:sz w:val="28"/>
          <w:szCs w:val="28"/>
        </w:rPr>
        <w:t>第三步</w:t>
      </w:r>
      <w:r>
        <w:rPr>
          <w:rFonts w:hint="eastAsia" w:ascii="仿宋_GB2312" w:hAnsi="仿宋_GB2312" w:eastAsia="仿宋_GB2312" w:cs="仿宋_GB2312"/>
          <w:sz w:val="28"/>
          <w:szCs w:val="28"/>
        </w:rPr>
        <w:t>：选择课程后，出现如下图所示界面，在界面上填写课程的上课信息及其备注信息后点击确定。点击确定，这们通识教育选修课申请流程完成，进入到审核阶段</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8595" cy="2529205"/>
            <wp:effectExtent l="0" t="0" r="1905" b="1079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5268595" cy="2529205"/>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b/>
          <w:color w:val="FF0000"/>
          <w:sz w:val="28"/>
          <w:szCs w:val="28"/>
        </w:rPr>
        <w:t>第四步</w:t>
      </w:r>
      <w:r>
        <w:rPr>
          <w:rFonts w:hint="eastAsia" w:ascii="仿宋_GB2312" w:hAnsi="仿宋_GB2312" w:eastAsia="仿宋_GB2312" w:cs="仿宋_GB2312"/>
          <w:sz w:val="28"/>
          <w:szCs w:val="28"/>
        </w:rPr>
        <w:t>：点击确定后，这门通识教育选修课的申请流程完成，等待教务处审核通过后则完成了该门课程的通识选修课的申请开课，申请完成的开课信息在申请界面可以查看</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2880" cy="1867535"/>
            <wp:effectExtent l="0" t="0" r="7620" b="1206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1"/>
                    <a:stretch>
                      <a:fillRect/>
                    </a:stretch>
                  </pic:blipFill>
                  <pic:spPr>
                    <a:xfrm>
                      <a:off x="0" y="0"/>
                      <a:ext cx="5262880" cy="1867535"/>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FF0000"/>
          <w:sz w:val="28"/>
          <w:szCs w:val="28"/>
        </w:rPr>
        <w:t>撤回</w:t>
      </w:r>
      <w:r>
        <w:rPr>
          <w:rFonts w:hint="eastAsia" w:ascii="仿宋_GB2312" w:hAnsi="仿宋_GB2312" w:eastAsia="仿宋_GB2312" w:cs="仿宋_GB2312"/>
          <w:sz w:val="28"/>
          <w:szCs w:val="28"/>
        </w:rPr>
        <w:t>：界面上的撤回按钮，在没有审核之前，还可以撤回，撤回后，撤回按钮变成编辑按钮，点击编辑可以继续对该课程申请进行编辑修改，编辑修改后，重新提交</w:t>
      </w:r>
      <w:r>
        <w:rPr>
          <w:rFonts w:hint="eastAsia" w:ascii="仿宋_GB2312" w:hAnsi="仿宋_GB2312" w:eastAsia="仿宋_GB2312" w:cs="仿宋_GB2312"/>
          <w:sz w:val="28"/>
          <w:szCs w:val="28"/>
          <w:lang w:eastAsia="zh-CN"/>
        </w:rPr>
        <w:t>。</w:t>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FF0000"/>
          <w:sz w:val="28"/>
          <w:szCs w:val="28"/>
        </w:rPr>
        <w:t>查看详情</w:t>
      </w:r>
      <w:r>
        <w:rPr>
          <w:rFonts w:hint="eastAsia" w:ascii="仿宋_GB2312" w:hAnsi="仿宋_GB2312" w:eastAsia="仿宋_GB2312" w:cs="仿宋_GB2312"/>
          <w:sz w:val="28"/>
          <w:szCs w:val="28"/>
        </w:rPr>
        <w:t>：查看详情可以查看该课程申请的一些关键信息，以及审核流程的一个审核情况</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9865" cy="1910715"/>
            <wp:effectExtent l="0" t="0" r="6985" b="1333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2"/>
                    <a:srcRect b="13010"/>
                    <a:stretch>
                      <a:fillRect/>
                    </a:stretch>
                  </pic:blipFill>
                  <pic:spPr>
                    <a:xfrm>
                      <a:off x="0" y="0"/>
                      <a:ext cx="5269865" cy="1910715"/>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FF0000"/>
          <w:sz w:val="28"/>
          <w:szCs w:val="28"/>
          <w:highlight w:val="none"/>
        </w:rPr>
        <w:t>删除</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rPr>
        <w:t>可以删除草稿状态的申请数据</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6055" cy="1489710"/>
            <wp:effectExtent l="0" t="0" r="10795" b="152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a:stretch>
                      <a:fillRect/>
                    </a:stretch>
                  </pic:blipFill>
                  <pic:spPr>
                    <a:xfrm>
                      <a:off x="0" y="0"/>
                      <a:ext cx="5266055" cy="1489710"/>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b/>
          <w:color w:val="FF0000"/>
          <w:sz w:val="28"/>
          <w:szCs w:val="28"/>
        </w:rPr>
        <w:t>第五步</w:t>
      </w:r>
      <w:r>
        <w:rPr>
          <w:rFonts w:hint="eastAsia" w:ascii="仿宋_GB2312" w:hAnsi="仿宋_GB2312" w:eastAsia="仿宋_GB2312" w:cs="仿宋_GB2312"/>
          <w:sz w:val="28"/>
          <w:szCs w:val="28"/>
        </w:rPr>
        <w:t>：打印申请表，提交到学院进行审核后，将申请表提交到教务处</w:t>
      </w:r>
      <w:r>
        <w:rPr>
          <w:rFonts w:hint="eastAsia" w:ascii="仿宋_GB2312" w:hAnsi="仿宋_GB2312" w:eastAsia="仿宋_GB2312" w:cs="仿宋_GB2312"/>
          <w:sz w:val="28"/>
          <w:szCs w:val="28"/>
          <w:lang w:eastAsia="zh-CN"/>
        </w:rPr>
        <w:t>。</w:t>
      </w:r>
    </w:p>
    <w:p>
      <w:pPr>
        <w:pStyle w:val="4"/>
        <w:jc w:val="left"/>
      </w:pPr>
      <w:r>
        <w:drawing>
          <wp:inline distT="0" distB="0" distL="0" distR="0">
            <wp:extent cx="5215890" cy="1823720"/>
            <wp:effectExtent l="0" t="0" r="3810" b="5080"/>
            <wp:docPr id="10" name="Drawing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descr="图片"/>
                    <pic:cNvPicPr>
                      <a:picLocks noChangeAspect="1"/>
                    </pic:cNvPicPr>
                  </pic:nvPicPr>
                  <pic:blipFill>
                    <a:blip r:embed="rId14"/>
                    <a:stretch>
                      <a:fillRect/>
                    </a:stretch>
                  </pic:blipFill>
                  <pic:spPr>
                    <a:xfrm>
                      <a:off x="0" y="0"/>
                      <a:ext cx="5216017" cy="1824090"/>
                    </a:xfrm>
                    <a:prstGeom prst="rect">
                      <a:avLst/>
                    </a:prstGeom>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b/>
          <w:sz w:val="28"/>
          <w:szCs w:val="28"/>
          <w:highlight w:val="yellow"/>
          <w:lang w:val="en-US" w:eastAsia="zh-CN"/>
        </w:rPr>
      </w:pP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highlight w:val="yellow"/>
          <w:lang w:val="en-US" w:eastAsia="zh-CN"/>
        </w:rPr>
        <w:t>2.1.1.2</w:t>
      </w:r>
      <w:r>
        <w:rPr>
          <w:rFonts w:hint="eastAsia" w:ascii="仿宋_GB2312" w:hAnsi="仿宋_GB2312" w:eastAsia="仿宋_GB2312" w:cs="仿宋_GB2312"/>
          <w:b/>
          <w:sz w:val="28"/>
          <w:szCs w:val="28"/>
          <w:highlight w:val="yellow"/>
        </w:rPr>
        <w:t>申请新开课</w:t>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操作步骤：</w:t>
      </w:r>
      <w:r>
        <w:rPr>
          <w:rFonts w:hint="eastAsia" w:ascii="仿宋_GB2312" w:hAnsi="仿宋_GB2312" w:eastAsia="仿宋_GB2312" w:cs="仿宋_GB2312"/>
          <w:b/>
          <w:color w:val="FF0000"/>
          <w:sz w:val="28"/>
          <w:szCs w:val="28"/>
        </w:rPr>
        <w:t>第一步</w:t>
      </w:r>
      <w:r>
        <w:rPr>
          <w:rFonts w:hint="eastAsia" w:ascii="仿宋_GB2312" w:hAnsi="仿宋_GB2312" w:eastAsia="仿宋_GB2312" w:cs="仿宋_GB2312"/>
          <w:sz w:val="28"/>
          <w:szCs w:val="28"/>
        </w:rPr>
        <w:t>、点击申请新开课，然后点击下一步</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9230" cy="2112010"/>
            <wp:effectExtent l="0" t="0" r="1270" b="889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5"/>
                    <a:stretch>
                      <a:fillRect/>
                    </a:stretch>
                  </pic:blipFill>
                  <pic:spPr>
                    <a:xfrm>
                      <a:off x="0" y="0"/>
                      <a:ext cx="5269230" cy="2112010"/>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b/>
          <w:color w:val="FF0000"/>
          <w:sz w:val="28"/>
          <w:szCs w:val="28"/>
        </w:rPr>
        <w:t>第二步</w:t>
      </w:r>
      <w:r>
        <w:rPr>
          <w:rFonts w:hint="eastAsia" w:ascii="仿宋_GB2312" w:hAnsi="仿宋_GB2312" w:eastAsia="仿宋_GB2312" w:cs="仿宋_GB2312"/>
          <w:sz w:val="28"/>
          <w:szCs w:val="28"/>
        </w:rPr>
        <w:t>：点击下一步后，界面出来新开课程的基本信息填写，根据页面的字段填写完成新开课程的基本信息后（带*的字段为必填项），点击提交</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7960" cy="2359025"/>
            <wp:effectExtent l="0" t="0" r="2540" b="317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6"/>
                    <a:stretch>
                      <a:fillRect/>
                    </a:stretch>
                  </pic:blipFill>
                  <pic:spPr>
                    <a:xfrm>
                      <a:off x="0" y="0"/>
                      <a:ext cx="5267960" cy="2359025"/>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b/>
          <w:color w:val="FF0000"/>
          <w:sz w:val="28"/>
          <w:szCs w:val="28"/>
        </w:rPr>
        <w:t>第三步</w:t>
      </w:r>
      <w:r>
        <w:rPr>
          <w:rFonts w:hint="eastAsia" w:ascii="仿宋_GB2312" w:hAnsi="仿宋_GB2312" w:eastAsia="仿宋_GB2312" w:cs="仿宋_GB2312"/>
          <w:sz w:val="28"/>
          <w:szCs w:val="28"/>
        </w:rPr>
        <w:t>：点击提交后，等待审核通过，在申请开课可以查看到申请课程的申请信息</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6690" cy="1914525"/>
            <wp:effectExtent l="0" t="0" r="3810" b="317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7"/>
                    <a:stretch>
                      <a:fillRect/>
                    </a:stretch>
                  </pic:blipFill>
                  <pic:spPr>
                    <a:xfrm>
                      <a:off x="0" y="0"/>
                      <a:ext cx="5266690" cy="1914525"/>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color w:val="FF0000"/>
          <w:sz w:val="28"/>
          <w:szCs w:val="28"/>
        </w:rPr>
        <w:t>撤回</w:t>
      </w:r>
      <w:r>
        <w:rPr>
          <w:rFonts w:hint="eastAsia" w:ascii="仿宋_GB2312" w:hAnsi="仿宋_GB2312" w:eastAsia="仿宋_GB2312" w:cs="仿宋_GB2312"/>
          <w:sz w:val="28"/>
          <w:szCs w:val="28"/>
        </w:rPr>
        <w:t>：界面上的撤回按钮，在没有审核之前，还可以撤回，撤回后，撤回按钮变成编辑按钮，点击编辑可以继续对该课程申请进行编辑修改，编辑修改后，重新提交</w:t>
      </w:r>
      <w:r>
        <w:rPr>
          <w:rFonts w:hint="eastAsia" w:ascii="仿宋_GB2312" w:hAnsi="仿宋_GB2312" w:eastAsia="仿宋_GB2312" w:cs="仿宋_GB2312"/>
          <w:sz w:val="28"/>
          <w:szCs w:val="28"/>
          <w:lang w:eastAsia="zh-CN"/>
        </w:rPr>
        <w:t>。</w:t>
      </w:r>
    </w:p>
    <w:p>
      <w:pPr>
        <w:pStyle w:val="4"/>
        <w:keepNext w:val="0"/>
        <w:keepLines w:val="0"/>
        <w:pageBreakBefore w:val="0"/>
        <w:widowControl/>
        <w:kinsoku/>
        <w:wordWrap/>
        <w:overflowPunct/>
        <w:topLinePunct w:val="0"/>
        <w:autoSpaceDE/>
        <w:autoSpaceDN/>
        <w:bidi w:val="0"/>
        <w:adjustRightInd/>
        <w:snapToGrid/>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FF0000"/>
          <w:sz w:val="28"/>
          <w:szCs w:val="28"/>
        </w:rPr>
        <w:t>查看详情</w:t>
      </w:r>
      <w:r>
        <w:rPr>
          <w:rFonts w:hint="eastAsia" w:ascii="仿宋_GB2312" w:hAnsi="仿宋_GB2312" w:eastAsia="仿宋_GB2312" w:cs="仿宋_GB2312"/>
          <w:sz w:val="28"/>
          <w:szCs w:val="28"/>
        </w:rPr>
        <w:t>：查看详情可以查看该课程申请的一些关键信息，以及审核流程的一个审核情况</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6690" cy="1729105"/>
            <wp:effectExtent l="0" t="0" r="10160" b="444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a:stretch>
                      <a:fillRect/>
                    </a:stretch>
                  </pic:blipFill>
                  <pic:spPr>
                    <a:xfrm>
                      <a:off x="0" y="0"/>
                      <a:ext cx="5266690" cy="1729105"/>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FF0000"/>
          <w:sz w:val="28"/>
          <w:szCs w:val="28"/>
        </w:rPr>
        <w:t>删除</w:t>
      </w:r>
      <w:r>
        <w:rPr>
          <w:rFonts w:hint="eastAsia" w:ascii="仿宋_GB2312" w:hAnsi="仿宋_GB2312" w:eastAsia="仿宋_GB2312" w:cs="仿宋_GB2312"/>
          <w:sz w:val="28"/>
          <w:szCs w:val="28"/>
        </w:rPr>
        <w:t>：草稿状态的申请数据可以进行</w:t>
      </w:r>
      <w:bookmarkStart w:id="0" w:name="_GoBack"/>
      <w:bookmarkEnd w:id="0"/>
      <w:r>
        <w:rPr>
          <w:rFonts w:hint="eastAsia" w:ascii="仿宋_GB2312" w:hAnsi="仿宋_GB2312" w:eastAsia="仿宋_GB2312" w:cs="仿宋_GB2312"/>
          <w:sz w:val="28"/>
          <w:szCs w:val="28"/>
        </w:rPr>
        <w:t>删除</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6055" cy="1784985"/>
            <wp:effectExtent l="0" t="0" r="4445" b="57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3"/>
                    <a:stretch>
                      <a:fillRect/>
                    </a:stretch>
                  </pic:blipFill>
                  <pic:spPr>
                    <a:xfrm>
                      <a:off x="0" y="0"/>
                      <a:ext cx="5266055" cy="1784985"/>
                    </a:xfrm>
                    <a:prstGeom prst="rect">
                      <a:avLst/>
                    </a:prstGeom>
                    <a:noFill/>
                    <a:ln>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color w:val="FF0000"/>
          <w:sz w:val="28"/>
          <w:szCs w:val="28"/>
        </w:rPr>
        <w:t>第四步：</w:t>
      </w:r>
      <w:r>
        <w:rPr>
          <w:rFonts w:hint="eastAsia" w:ascii="仿宋_GB2312" w:hAnsi="仿宋_GB2312" w:eastAsia="仿宋_GB2312" w:cs="仿宋_GB2312"/>
          <w:sz w:val="28"/>
          <w:szCs w:val="28"/>
        </w:rPr>
        <w:t>打印申请表，提交到学院进行审核后，将申请表提交到教务处</w:t>
      </w:r>
      <w:r>
        <w:rPr>
          <w:rFonts w:hint="eastAsia" w:ascii="仿宋_GB2312" w:hAnsi="仿宋_GB2312" w:eastAsia="仿宋_GB2312" w:cs="仿宋_GB2312"/>
          <w:sz w:val="28"/>
          <w:szCs w:val="28"/>
          <w:lang w:eastAsia="zh-CN"/>
        </w:rPr>
        <w:t>。</w:t>
      </w:r>
    </w:p>
    <w:p>
      <w:pPr>
        <w:pStyle w:val="4"/>
        <w:jc w:val="left"/>
      </w:pPr>
      <w:r>
        <w:drawing>
          <wp:inline distT="0" distB="0" distL="114300" distR="114300">
            <wp:extent cx="5260340" cy="1784985"/>
            <wp:effectExtent l="0" t="0" r="10160"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5260340" cy="1784985"/>
                    </a:xfrm>
                    <a:prstGeom prst="rect">
                      <a:avLst/>
                    </a:prstGeom>
                    <a:noFill/>
                    <a:ln>
                      <a:noFill/>
                    </a:ln>
                  </pic:spPr>
                </pic:pic>
              </a:graphicData>
            </a:graphic>
          </wp:inline>
        </w:drawing>
      </w:r>
    </w:p>
    <w:p>
      <w:pPr>
        <w:pStyle w:val="9"/>
        <w:keepNext w:val="0"/>
        <w:keepLines w:val="0"/>
        <w:pageBreakBefore w:val="0"/>
        <w:widowControl/>
        <w:numPr>
          <w:ilvl w:val="2"/>
          <w:numId w:val="1"/>
        </w:numPr>
        <w:kinsoku/>
        <w:wordWrap/>
        <w:overflowPunct/>
        <w:topLinePunct w:val="0"/>
        <w:autoSpaceDE/>
        <w:autoSpaceDN/>
        <w:bidi w:val="0"/>
        <w:adjustRightInd/>
        <w:snapToGrid/>
        <w:spacing w:before="720"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历年任务</w:t>
      </w:r>
    </w:p>
    <w:p>
      <w:pPr>
        <w:pStyle w:val="4"/>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查看通识选修课历史的申请记录。</w:t>
      </w:r>
    </w:p>
    <w:p>
      <w:pPr>
        <w:pStyle w:val="4"/>
        <w:jc w:val="left"/>
      </w:pPr>
      <w:r>
        <w:drawing>
          <wp:inline distT="0" distB="0" distL="114300" distR="114300">
            <wp:extent cx="5269230" cy="1844675"/>
            <wp:effectExtent l="0" t="0" r="1270"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0"/>
                    <a:stretch>
                      <a:fillRect/>
                    </a:stretch>
                  </pic:blipFill>
                  <pic:spPr>
                    <a:xfrm>
                      <a:off x="0" y="0"/>
                      <a:ext cx="5269230" cy="1844675"/>
                    </a:xfrm>
                    <a:prstGeom prst="rect">
                      <a:avLst/>
                    </a:prstGeom>
                    <a:noFill/>
                    <a:ln>
                      <a:noFill/>
                    </a:ln>
                  </pic:spPr>
                </pic:pic>
              </a:graphicData>
            </a:graphic>
          </wp:inline>
        </w:drawing>
      </w:r>
    </w:p>
    <w:p>
      <w:pPr>
        <w:pStyle w:val="4"/>
        <w:jc w:val="left"/>
      </w:pPr>
    </w:p>
    <w:p>
      <w:pPr>
        <w:pStyle w:val="4"/>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2.2  导出汇总表（学院）</w:t>
      </w:r>
    </w:p>
    <w:p>
      <w:pPr>
        <w:pStyle w:val="4"/>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登录（账号、密码与学校主页门户相同）——在下图图示位置搜索“校公选课计划管理”。</w:t>
      </w:r>
    </w:p>
    <w:p>
      <w:pPr>
        <w:pStyle w:val="4"/>
        <w:jc w:val="left"/>
      </w:pPr>
      <w:r>
        <w:drawing>
          <wp:inline distT="0" distB="0" distL="114300" distR="114300">
            <wp:extent cx="5264150" cy="3116580"/>
            <wp:effectExtent l="0" t="0" r="1270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64150" cy="3116580"/>
                    </a:xfrm>
                    <a:prstGeom prst="rect">
                      <a:avLst/>
                    </a:prstGeom>
                    <a:noFill/>
                    <a:ln w="9525">
                      <a:noFill/>
                    </a:ln>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导出路径：校公选课计划管理——身份选择“本科院系”——单击右上角“校公选课申请查询”——选择开课单位和学年学期——单击“搜索”——点击“导出”。</w:t>
      </w:r>
    </w:p>
    <w:p>
      <w:pPr>
        <w:pStyle w:val="4"/>
        <w:spacing w:line="360" w:lineRule="auto"/>
        <w:jc w:val="right"/>
      </w:pPr>
      <w:r>
        <w:drawing>
          <wp:inline distT="0" distB="0" distL="114300" distR="114300">
            <wp:extent cx="5261610" cy="1176020"/>
            <wp:effectExtent l="0" t="0" r="15240"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5261610" cy="1176020"/>
                    </a:xfrm>
                    <a:prstGeom prst="rect">
                      <a:avLst/>
                    </a:prstGeom>
                    <a:noFill/>
                    <a:ln w="9525">
                      <a:noFill/>
                    </a:ln>
                  </pic:spPr>
                </pic:pic>
              </a:graphicData>
            </a:graphic>
          </wp:inline>
        </w:drawing>
      </w:r>
      <w:r>
        <w:rPr>
          <w:b/>
        </w:rPr>
        <w:t>＝＝ 文档结束 ＝＝</w:t>
      </w: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decimal"/>
      <w:lvlText w:val="%1."/>
      <w:lvlJc w:val="left"/>
      <w:pPr>
        <w:ind w:left="420" w:hanging="420"/>
      </w:pPr>
    </w:lvl>
    <w:lvl w:ilvl="1" w:tentative="0">
      <w:start w:val="1"/>
      <w:numFmt w:val="decimal"/>
      <w:lvlText w:val="%1.%2."/>
      <w:lvlJc w:val="left"/>
      <w:pPr>
        <w:ind w:left="840" w:hanging="420"/>
      </w:pPr>
    </w:lvl>
    <w:lvl w:ilvl="2" w:tentative="0">
      <w:start w:val="1"/>
      <w:numFmt w:val="decimal"/>
      <w:lvlText w:val="%1.%2.%3."/>
      <w:lvlJc w:val="left"/>
      <w:pPr>
        <w:ind w:left="1260" w:hanging="420"/>
      </w:pPr>
    </w:lvl>
    <w:lvl w:ilvl="3" w:tentative="0">
      <w:start w:val="1"/>
      <w:numFmt w:val="decimal"/>
      <w:lvlText w:val="%1.%2.%3.%4."/>
      <w:lvlJc w:val="left"/>
      <w:pPr>
        <w:ind w:left="1680" w:hanging="420"/>
      </w:pPr>
    </w:lvl>
    <w:lvl w:ilvl="4" w:tentative="0">
      <w:start w:val="1"/>
      <w:numFmt w:val="decimal"/>
      <w:lvlText w:val="%1.%2.%3.%4.%5."/>
      <w:lvlJc w:val="left"/>
      <w:pPr>
        <w:ind w:left="2100" w:hanging="420"/>
      </w:pPr>
    </w:lvl>
    <w:lvl w:ilvl="5" w:tentative="0">
      <w:start w:val="1"/>
      <w:numFmt w:val="decimal"/>
      <w:lvlText w:val="%1.%2.%3.%4.%5.%6."/>
      <w:lvlJc w:val="left"/>
      <w:pPr>
        <w:ind w:left="2520" w:hanging="420"/>
      </w:pPr>
    </w:lvl>
    <w:lvl w:ilvl="6" w:tentative="0">
      <w:start w:val="1"/>
      <w:numFmt w:val="decimal"/>
      <w:lvlText w:val="%1.%2.%3.%4.%5.%6.%7."/>
      <w:lvlJc w:val="left"/>
      <w:pPr>
        <w:ind w:left="2940" w:hanging="420"/>
      </w:pPr>
    </w:lvl>
    <w:lvl w:ilvl="7" w:tentative="0">
      <w:start w:val="1"/>
      <w:numFmt w:val="decimal"/>
      <w:lvlText w:val="%1.%2.%3.%4.%5.%6.%7.%8."/>
      <w:lvlJc w:val="left"/>
      <w:pPr>
        <w:ind w:left="3360" w:hanging="420"/>
      </w:pPr>
    </w:lvl>
    <w:lvl w:ilvl="8" w:tentative="0">
      <w:start w:val="1"/>
      <w:numFmt w:val="decimal"/>
      <w:lvlText w:val="%1.%2.%3.%4.%5.%6.%7.%8.%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compat>
    <w:useFELayout/>
    <w:splitPgBreakAndParaMark/>
    <w:compatSetting w:name="compatibilityMode" w:uri="http://schemas.microsoft.com/office/word" w:val="12"/>
  </w:compat>
  <w:rsids>
    <w:rsidRoot w:val="00000000"/>
    <w:rsid w:val="03D6142D"/>
    <w:rsid w:val="04F571AC"/>
    <w:rsid w:val="08CF0CFD"/>
    <w:rsid w:val="08FC133D"/>
    <w:rsid w:val="0E0D39B6"/>
    <w:rsid w:val="0EE35E92"/>
    <w:rsid w:val="21D8321E"/>
    <w:rsid w:val="27865606"/>
    <w:rsid w:val="2F797536"/>
    <w:rsid w:val="317B3FA1"/>
    <w:rsid w:val="3AB764A5"/>
    <w:rsid w:val="425A2FFA"/>
    <w:rsid w:val="44EB6F3B"/>
    <w:rsid w:val="45D12C35"/>
    <w:rsid w:val="46B73058"/>
    <w:rsid w:val="4CC2294A"/>
    <w:rsid w:val="64021EDB"/>
    <w:rsid w:val="6ACA2BDF"/>
    <w:rsid w:val="6BDE2CCD"/>
    <w:rsid w:val="6D8F1A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sz w:val="22"/>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customStyle="1" w:styleId="4">
    <w:name w:val="石墨文档正文"/>
    <w:qFormat/>
    <w:uiPriority w:val="0"/>
    <w:rPr>
      <w:rFonts w:ascii="微软雅黑" w:hAnsi="微软雅黑" w:eastAsia="微软雅黑" w:cs="微软雅黑"/>
      <w:sz w:val="22"/>
      <w:szCs w:val="22"/>
    </w:rPr>
  </w:style>
  <w:style w:type="paragraph" w:customStyle="1" w:styleId="5">
    <w:name w:val="石墨文档标题"/>
    <w:next w:val="4"/>
    <w:unhideWhenUsed/>
    <w:qFormat/>
    <w:uiPriority w:val="9"/>
    <w:pPr>
      <w:spacing w:before="260" w:after="260"/>
      <w:outlineLvl w:val="0"/>
    </w:pPr>
    <w:rPr>
      <w:rFonts w:ascii="微软雅黑" w:hAnsi="微软雅黑" w:eastAsia="微软雅黑" w:cs="微软雅黑"/>
      <w:b/>
      <w:bCs/>
      <w:sz w:val="40"/>
      <w:szCs w:val="40"/>
    </w:rPr>
  </w:style>
  <w:style w:type="paragraph" w:customStyle="1" w:styleId="6">
    <w:name w:val="石墨文档副标题"/>
    <w:qFormat/>
    <w:uiPriority w:val="0"/>
    <w:pPr>
      <w:spacing w:before="260" w:after="260"/>
    </w:pPr>
    <w:rPr>
      <w:rFonts w:ascii="微软雅黑" w:hAnsi="微软雅黑" w:eastAsia="微软雅黑" w:cs="微软雅黑"/>
      <w:color w:val="888888"/>
      <w:sz w:val="36"/>
      <w:szCs w:val="36"/>
    </w:rPr>
  </w:style>
  <w:style w:type="paragraph" w:customStyle="1" w:styleId="7">
    <w:name w:val="石墨文档标题 1"/>
    <w:next w:val="4"/>
    <w:unhideWhenUsed/>
    <w:qFormat/>
    <w:uiPriority w:val="9"/>
    <w:pPr>
      <w:spacing w:before="260" w:after="260"/>
      <w:outlineLvl w:val="0"/>
    </w:pPr>
    <w:rPr>
      <w:rFonts w:ascii="微软雅黑" w:hAnsi="微软雅黑" w:eastAsia="微软雅黑" w:cs="微软雅黑"/>
      <w:b/>
      <w:bCs/>
      <w:sz w:val="32"/>
      <w:szCs w:val="32"/>
    </w:rPr>
  </w:style>
  <w:style w:type="paragraph" w:customStyle="1" w:styleId="8">
    <w:name w:val="石墨文档标题 2"/>
    <w:next w:val="4"/>
    <w:unhideWhenUsed/>
    <w:qFormat/>
    <w:uiPriority w:val="9"/>
    <w:pPr>
      <w:spacing w:before="260" w:after="260"/>
      <w:outlineLvl w:val="1"/>
    </w:pPr>
    <w:rPr>
      <w:rFonts w:ascii="微软雅黑" w:hAnsi="微软雅黑" w:eastAsia="微软雅黑" w:cs="微软雅黑"/>
      <w:b/>
      <w:bCs/>
      <w:sz w:val="28"/>
      <w:szCs w:val="28"/>
    </w:rPr>
  </w:style>
  <w:style w:type="paragraph" w:customStyle="1" w:styleId="9">
    <w:name w:val="石墨文档标题 3"/>
    <w:next w:val="4"/>
    <w:unhideWhenUsed/>
    <w:qFormat/>
    <w:uiPriority w:val="9"/>
    <w:pPr>
      <w:spacing w:before="260" w:after="260"/>
      <w:outlineLvl w:val="2"/>
    </w:pPr>
    <w:rPr>
      <w:rFonts w:ascii="微软雅黑" w:hAnsi="微软雅黑" w:eastAsia="微软雅黑" w:cs="微软雅黑"/>
      <w:b/>
      <w:bCs/>
      <w:sz w:val="26"/>
      <w:szCs w:val="26"/>
    </w:rPr>
  </w:style>
  <w:style w:type="paragraph" w:customStyle="1" w:styleId="10">
    <w:name w:val="石墨文档标题 4"/>
    <w:next w:val="4"/>
    <w:unhideWhenUsed/>
    <w:qFormat/>
    <w:uiPriority w:val="9"/>
    <w:pPr>
      <w:spacing w:before="260" w:after="260"/>
      <w:outlineLvl w:val="3"/>
    </w:pPr>
    <w:rPr>
      <w:rFonts w:ascii="微软雅黑" w:hAnsi="微软雅黑" w:eastAsia="微软雅黑" w:cs="微软雅黑"/>
      <w:b/>
      <w:bCs/>
      <w:sz w:val="24"/>
      <w:szCs w:val="24"/>
    </w:rPr>
  </w:style>
  <w:style w:type="paragraph" w:customStyle="1" w:styleId="11">
    <w:name w:val="石墨文档引用"/>
    <w:qFormat/>
    <w:uiPriority w:val="0"/>
    <w:pPr>
      <w:pBdr>
        <w:left w:val="single" w:color="F0F0F0" w:sz="30" w:space="10"/>
      </w:pBdr>
    </w:pPr>
    <w:rPr>
      <w:rFonts w:ascii="微软雅黑" w:hAnsi="微软雅黑" w:eastAsia="微软雅黑" w:cs="微软雅黑"/>
      <w:color w:val="ADADAD"/>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7"/>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19</TotalTime>
  <ScaleCrop>false</ScaleCrop>
  <LinksUpToDate>false</LinksUpToDate>
  <Application>WPS Office_10.8.2.6837_F1E327BC-269C-435d-A152-05C5408002CA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2020-11-02T03:01:00Z</dcterms:created>
  <dc:creator> </dc:creator>
  <cp:lastModifiedBy>THTF</cp:lastModifiedBy>
  <cp:lastPrinted>2020-11-02T08:41:00Z</cp:lastPrinted>
  <dcterms:modified xsi:type="dcterms:W3CDTF">2021-04-23T00:56:46Z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