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3145" w14:textId="77777777" w:rsidR="006C1A2B" w:rsidRPr="009E533C" w:rsidRDefault="006C1A2B" w:rsidP="006C1A2B">
      <w:pPr>
        <w:widowControl/>
        <w:shd w:val="clear" w:color="auto" w:fill="FFFFFF"/>
        <w:spacing w:before="100" w:beforeAutospacing="1" w:after="100" w:afterAutospacing="1" w:line="400" w:lineRule="exact"/>
        <w:jc w:val="center"/>
        <w:outlineLvl w:val="1"/>
        <w:rPr>
          <w:rFonts w:ascii="方正小标宋简体" w:eastAsia="方正小标宋简体" w:hAnsi="微软雅黑" w:cs="宋体"/>
          <w:b/>
          <w:bCs/>
          <w:kern w:val="36"/>
          <w:sz w:val="30"/>
          <w:szCs w:val="30"/>
        </w:rPr>
      </w:pPr>
      <w:r w:rsidRPr="009E533C">
        <w:rPr>
          <w:rFonts w:ascii="方正小标宋简体" w:eastAsia="方正小标宋简体" w:hAnsi="微软雅黑" w:cs="宋体" w:hint="eastAsia"/>
          <w:b/>
          <w:bCs/>
          <w:kern w:val="36"/>
          <w:sz w:val="30"/>
          <w:szCs w:val="30"/>
        </w:rPr>
        <w:t>教育部办公厅关于实施一流本科专业建设“双万计划”的通知</w:t>
      </w:r>
    </w:p>
    <w:p w14:paraId="0505EE79" w14:textId="77777777" w:rsidR="006C1A2B" w:rsidRPr="009E533C" w:rsidRDefault="006C1A2B" w:rsidP="006C1A2B">
      <w:pPr>
        <w:widowControl/>
        <w:shd w:val="clear" w:color="auto" w:fill="FFFFFF"/>
        <w:spacing w:before="100" w:beforeAutospacing="1" w:after="100" w:afterAutospacing="1" w:line="400" w:lineRule="exact"/>
        <w:jc w:val="right"/>
        <w:rPr>
          <w:rFonts w:ascii="仿宋_GB2312" w:eastAsia="仿宋_GB2312" w:hAnsi="微软雅黑" w:cs="宋体"/>
          <w:color w:val="4B4B4B"/>
          <w:kern w:val="0"/>
          <w:sz w:val="30"/>
          <w:szCs w:val="30"/>
        </w:rPr>
      </w:pPr>
      <w:r w:rsidRPr="009E533C">
        <w:rPr>
          <w:rFonts w:ascii="仿宋_GB2312" w:eastAsia="仿宋_GB2312" w:hAnsi="微软雅黑" w:cs="宋体" w:hint="eastAsia"/>
          <w:color w:val="4B4B4B"/>
          <w:kern w:val="0"/>
          <w:sz w:val="30"/>
          <w:szCs w:val="30"/>
        </w:rPr>
        <w:t>教高厅函〔2019〕18号</w:t>
      </w:r>
    </w:p>
    <w:p w14:paraId="4F9A5998" w14:textId="77777777" w:rsidR="006C1A2B" w:rsidRPr="009E533C" w:rsidRDefault="006C1A2B" w:rsidP="006C1A2B">
      <w:pPr>
        <w:widowControl/>
        <w:shd w:val="clear" w:color="auto" w:fill="FFFFFF"/>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各省、自治区、直辖市教育厅（教委），新疆生产建设兵团教育局，有关部门（单位）教育司（局），部属各高等学校、部省合建各高等学校：</w:t>
      </w:r>
    </w:p>
    <w:p w14:paraId="6F6BFA8D"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为深入落实全国教育大会和《加快推进教育现代化实施方案（2018—2022年）》精神，贯彻落实新时代全国高校本科教育工作会议和《教育部关于加快建设高水平本科教育 全面提高人才培养能力的意见》、“六卓越一拔尖”计划2.0系列文件要求，推动新工科、新医科、新农科、新文科建设，做强一流本科、建设一流专业、培养一流人才，全面振兴本科教育，提高高校人才培养能力，实现高等教育内涵式发展，经研究，教育部决定全面实施“六卓越一拔尖”计划2.0，启动一流本科专业建设“双万计划”,现将有关事项通知如下。</w:t>
      </w:r>
    </w:p>
    <w:p w14:paraId="1C77E75D"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一、主要任务</w:t>
      </w:r>
    </w:p>
    <w:p w14:paraId="3EF3A33E"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2019—2021年，建设10000个左右国家级一流本科专业点和10000个左右省级一流本科专业点。</w:t>
      </w:r>
    </w:p>
    <w:p w14:paraId="23CA4DCD"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二、建设原则</w:t>
      </w:r>
    </w:p>
    <w:p w14:paraId="231787DE"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面向各类高校。在不同类型的普通本科高校建设一流本科专业，鼓励分类发展、特色发展。</w:t>
      </w:r>
    </w:p>
    <w:p w14:paraId="58C413AF"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面向全部专业。覆盖全部92个本科专业类，分年度开展一流本科专业点建设。</w:t>
      </w:r>
    </w:p>
    <w:p w14:paraId="7533F7B7"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lastRenderedPageBreak/>
        <w:t>突出示范领跑。建设新工科、新医科、新农科、新文科示范性本科专业，引领带动高校优化专业结构、促进专业建设质量提升，推动形成高水平人才培养体系。</w:t>
      </w:r>
    </w:p>
    <w:p w14:paraId="65B30AD5"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分“赛道”建设。中央部门所属高校、地方高校名额分列，向地方高校倾斜；鼓励支持高校在服务国家和区域经济社会发展中建设一流本科专业。</w:t>
      </w:r>
    </w:p>
    <w:p w14:paraId="20B38830"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“两步走”实施。报送的专业第一步被确定为国家级一流本科专业建设点；教育部组织开展专业认证，通过后再确定为国家级一流本科专业。</w:t>
      </w:r>
    </w:p>
    <w:p w14:paraId="227C681D"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三、建设方式</w:t>
      </w:r>
    </w:p>
    <w:p w14:paraId="19B2EFBD"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1.国家级一流本科专业建设工作分三年完成。每年3月启动，经高校网上报送、教育主管部门或高校提交汇总材料、高等学校教学指导委员会提出推荐意见等，确定建设点名单，当年10月公布结果。</w:t>
      </w:r>
    </w:p>
    <w:p w14:paraId="00A3D8EA"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2.省级一流本科专业建设方案由各省级教育行政部门制订，按照建设总量不超过本行政区域内本科专业布点总数的20%，分三年统筹规划，报教育部备案后与国家级一流专业建设同步组织实施。每年9月底前，各省级教育行政部门将本年度省级一流本科专业建设点名单报教育部，当年10月与国家级一流本科专业建设点名单一并公布。</w:t>
      </w:r>
    </w:p>
    <w:p w14:paraId="28C545C7"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3.入选省级一流本科专业建设点的专业，如同时入选国家级一流本科专业建设点，按照国家级一流本科专业建设点公</w:t>
      </w:r>
      <w:r w:rsidRPr="009E533C">
        <w:rPr>
          <w:rFonts w:ascii="仿宋_GB2312" w:eastAsia="仿宋_GB2312" w:hAnsi="微软雅黑" w:cs="宋体" w:hint="eastAsia"/>
          <w:kern w:val="0"/>
          <w:sz w:val="30"/>
          <w:szCs w:val="30"/>
        </w:rPr>
        <w:lastRenderedPageBreak/>
        <w:t>布。空出的省级一流本科专业建设点名额可延至下一年度使用。</w:t>
      </w:r>
    </w:p>
    <w:p w14:paraId="3312A2AF"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4.根据2019、2020年一流本科专业点建设情况，2021年将对各专业类国家级一流本科专业的建设数量和建设进度进行统筹。</w:t>
      </w:r>
    </w:p>
    <w:p w14:paraId="6CF7EC2D"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 xml:space="preserve">四、报送条件 </w:t>
      </w:r>
    </w:p>
    <w:p w14:paraId="7E2C5F4F"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（一）报送高校需具备的条件</w:t>
      </w:r>
    </w:p>
    <w:p w14:paraId="075163F2"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1.全面落实“以本为本、四个回归”。坚持立德树人，切实巩固人才培养中心地位和本科教学基础地位，把思想政治教育贯穿人才培养全过程，着力深化教育教学改革，全面提升人才培养质量。</w:t>
      </w:r>
    </w:p>
    <w:p w14:paraId="5873F355"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2.积极推进新工科、新医科、新农科、新文科建设。紧扣国家发展需求，主动适应新一轮科技革命和产业变革，着力深化专业综合改革，优化专业结构，积极发展新兴专业，改造提升传统专业，打造特色优势专业。</w:t>
      </w:r>
    </w:p>
    <w:p w14:paraId="734AFB76"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14:paraId="1E9DDA2D"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4.努力培育以人才培养为中心的质量文化。坚持学生中心、产出导向、持续改进的基本理念，建立健全自查自纠的质</w:t>
      </w:r>
      <w:r w:rsidRPr="009E533C">
        <w:rPr>
          <w:rFonts w:ascii="仿宋_GB2312" w:eastAsia="仿宋_GB2312" w:hAnsi="微软雅黑" w:cs="宋体" w:hint="eastAsia"/>
          <w:kern w:val="0"/>
          <w:sz w:val="30"/>
          <w:szCs w:val="30"/>
        </w:rPr>
        <w:lastRenderedPageBreak/>
        <w:t>量保障机制并持续有效实施，将对质量的追求内化为全校师生的共同价值追求和行为自觉。</w:t>
      </w:r>
    </w:p>
    <w:p w14:paraId="28C7B103"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（二）报送专业需具备的条件</w:t>
      </w:r>
    </w:p>
    <w:p w14:paraId="0FDE9091"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1.专业定位明确。服务面向清晰，适应国家和区域经济社会发展需要，符合学校发展定位和办学方向。</w:t>
      </w:r>
    </w:p>
    <w:p w14:paraId="685CC14C"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2.专业管理规范。切实落实本科专业国家标准要求，人才培养方案科学合理，教育教学管理规范有序。近三年未出现重大安全责任事故。</w:t>
      </w:r>
    </w:p>
    <w:p w14:paraId="49706A68"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3.改革成效突出。持续深化教育教学改革，教育理念先进，教学内容更新及时，方法手段不断创新，以新理念、新形态、新方法引领带动新工科、新医科、新农科、新文科建设。</w:t>
      </w:r>
    </w:p>
    <w:p w14:paraId="78AF03E6"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4.师资力量雄厚。不断加强师资队伍和基层教学组织建设，教育教学研究活动广泛开展，专业教学团队结构合理、整体素质水平高。</w:t>
      </w:r>
    </w:p>
    <w:p w14:paraId="6D3592E0"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5.培养质量一流。坚持以学生为中心，促进学生全面发展，有效激发学生学习兴趣和潜能，增强创新精神、实践能力和社会责任感，毕业生行业认可度高、社会整体评价好。</w:t>
      </w:r>
    </w:p>
    <w:p w14:paraId="3B509330"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 xml:space="preserve">五、报送办法 </w:t>
      </w:r>
    </w:p>
    <w:p w14:paraId="1D2B5D00"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14:paraId="239B8432"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lastRenderedPageBreak/>
        <w:t xml:space="preserve">六、组织保障 </w:t>
      </w:r>
    </w:p>
    <w:p w14:paraId="202B38AD"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一）构建三级实施体系。教育部等14个“六卓越一拔尖”计划2.0负责部委（单位）统筹一流本科专业建设“双万计划”组织实施工作，指导各地、各高校落实有关文件要求，加强一流本科专业建设，推动构建国家、地方、高校三级实施体系。</w:t>
      </w:r>
    </w:p>
    <w:p w14:paraId="3529F567"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二）完善经费保障。中央部门所属高校应当统筹利用中央高校教育教学改革专项等中央高校预算拨款和其他各类资源，各地应当统筹地方财政高等教育资金和中央支持地方高校改革发展资金，支持一流本科专业建设。</w:t>
      </w:r>
    </w:p>
    <w:p w14:paraId="25B83EDF"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（三）建立动态调整机制。教育部和省级教育行政部门加强对计划实施过程跟踪，针对一流本科专业建设中存在的问题，提出改进意见建议，对于建设质量不达标、出现严重质量问题的专业建设点予以撤销。</w:t>
      </w:r>
    </w:p>
    <w:p w14:paraId="2850AB4F" w14:textId="77777777" w:rsidR="006C1A2B" w:rsidRPr="009E533C" w:rsidRDefault="006C1A2B" w:rsidP="006C1A2B">
      <w:pPr>
        <w:widowControl/>
        <w:shd w:val="clear" w:color="auto" w:fill="FFFFFF"/>
        <w:ind w:firstLineChars="200" w:firstLine="602"/>
        <w:jc w:val="left"/>
        <w:rPr>
          <w:rFonts w:ascii="仿宋_GB2312" w:eastAsia="仿宋_GB2312" w:hAnsi="微软雅黑" w:cs="宋体"/>
          <w:b/>
          <w:kern w:val="0"/>
          <w:sz w:val="30"/>
          <w:szCs w:val="30"/>
        </w:rPr>
      </w:pPr>
      <w:r w:rsidRPr="009E533C">
        <w:rPr>
          <w:rFonts w:ascii="仿宋_GB2312" w:eastAsia="仿宋_GB2312" w:hAnsi="微软雅黑" w:cs="宋体" w:hint="eastAsia"/>
          <w:b/>
          <w:bCs/>
          <w:kern w:val="0"/>
          <w:sz w:val="30"/>
          <w:szCs w:val="30"/>
        </w:rPr>
        <w:t xml:space="preserve">七、关于2019年国家级一流本科专业建设点报送工作 </w:t>
      </w:r>
    </w:p>
    <w:p w14:paraId="39C8B550"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1.报送数量。中央部门所属高校、部省合建高校2019年度报送的专业点数不超过本校本科专业布点数25%；各省级教育行政部门2019年度报送专业点数量不超过本地所属地方高校本科专业布点总数的15%。</w:t>
      </w:r>
    </w:p>
    <w:p w14:paraId="63E0A011"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2.在线登录账号和密码。高校使用“高等教育质量监测国家数据平台”的登录账号及密码。各省级教育行政部门、中央有关部门（单位）教育司（局）须明确工作联系人，于2019年</w:t>
      </w:r>
      <w:r w:rsidRPr="009E533C">
        <w:rPr>
          <w:rFonts w:ascii="仿宋_GB2312" w:eastAsia="仿宋_GB2312" w:hAnsi="微软雅黑" w:cs="宋体" w:hint="eastAsia"/>
          <w:kern w:val="0"/>
          <w:sz w:val="30"/>
          <w:szCs w:val="30"/>
        </w:rPr>
        <w:lastRenderedPageBreak/>
        <w:t>4月15日前将姓名、单位、座机、手机、电子邮件、传真号码报至教育部高等教育司文科处，获取报送系统登录账号及密码。</w:t>
      </w:r>
    </w:p>
    <w:p w14:paraId="3B699C7E"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3.在线报送时间和网址。在线报送时间为2019年4月20日—6月30日，请登录“国家级一流本科专业建设报送系统”（网址：http://udb.heec.edu.cn），按照系统提示填报。</w:t>
      </w:r>
    </w:p>
    <w:p w14:paraId="5DA57253"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4.在线审核和提交。各省级教育行政部门、中央有关部门（单位）教育司（局）须在2019年6月30日前，登录报送系统，严格按照限额，完成所属高校报送信息的在线审核和提交工作。</w:t>
      </w:r>
    </w:p>
    <w:p w14:paraId="2F1FD137"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5.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2019年7月1日前（以邮戳时间为准），将材料寄北京市西城区西单大木仓胡同35号教育部高等教育司文科处，邮编：100816。</w:t>
      </w:r>
    </w:p>
    <w:p w14:paraId="72A9F681" w14:textId="77777777" w:rsidR="006C1A2B" w:rsidRPr="009E533C" w:rsidRDefault="006C1A2B" w:rsidP="006C1A2B">
      <w:pPr>
        <w:widowControl/>
        <w:shd w:val="clear" w:color="auto" w:fill="FFFFFF"/>
        <w:ind w:firstLineChars="200" w:firstLine="600"/>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联系人及电话：教育部高等教育司，朱蓓蓓、徐健，010-66097823；教育部高等教育教学评估中心，郭栋、南方，010-82213390、82213395。</w:t>
      </w:r>
    </w:p>
    <w:p w14:paraId="7D62B6A9" w14:textId="77777777" w:rsidR="006C1A2B" w:rsidRPr="009E533C" w:rsidRDefault="006C1A2B" w:rsidP="006C1A2B">
      <w:pPr>
        <w:widowControl/>
        <w:shd w:val="clear" w:color="auto" w:fill="FFFFFF"/>
        <w:jc w:val="left"/>
        <w:rPr>
          <w:rFonts w:ascii="仿宋_GB2312" w:eastAsia="仿宋_GB2312" w:hAnsi="微软雅黑" w:cs="宋体"/>
          <w:kern w:val="0"/>
          <w:sz w:val="30"/>
          <w:szCs w:val="30"/>
        </w:rPr>
      </w:pPr>
    </w:p>
    <w:p w14:paraId="4F065EB7" w14:textId="77777777" w:rsidR="006C1A2B" w:rsidRPr="009E533C" w:rsidRDefault="006C1A2B" w:rsidP="006C1A2B">
      <w:pPr>
        <w:widowControl/>
        <w:shd w:val="clear" w:color="auto" w:fill="FFFFFF"/>
        <w:jc w:val="lef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附件：</w:t>
      </w:r>
      <w:hyperlink r:id="rId6" w:tgtFrame="_blank" w:history="1">
        <w:r w:rsidRPr="009E533C">
          <w:rPr>
            <w:rFonts w:ascii="仿宋_GB2312" w:eastAsia="仿宋_GB2312" w:hAnsi="微软雅黑" w:cs="宋体" w:hint="eastAsia"/>
            <w:kern w:val="0"/>
            <w:sz w:val="30"/>
            <w:szCs w:val="30"/>
          </w:rPr>
          <w:t>国家级一流本科专业分专业类建设规划</w:t>
        </w:r>
      </w:hyperlink>
    </w:p>
    <w:p w14:paraId="426C6CEB" w14:textId="77777777" w:rsidR="006C1A2B" w:rsidRPr="009E533C" w:rsidRDefault="006C1A2B" w:rsidP="006C1A2B">
      <w:pPr>
        <w:widowControl/>
        <w:shd w:val="clear" w:color="auto" w:fill="FFFFFF"/>
        <w:ind w:firstLineChars="300" w:firstLine="630"/>
        <w:jc w:val="left"/>
        <w:rPr>
          <w:rFonts w:ascii="仿宋_GB2312" w:eastAsia="仿宋_GB2312" w:hAnsi="微软雅黑" w:cs="宋体"/>
          <w:kern w:val="0"/>
          <w:sz w:val="30"/>
          <w:szCs w:val="30"/>
        </w:rPr>
      </w:pPr>
      <w:hyperlink r:id="rId7" w:tgtFrame="_blank" w:history="1">
        <w:r w:rsidRPr="009E533C">
          <w:rPr>
            <w:rFonts w:ascii="仿宋_GB2312" w:eastAsia="仿宋_GB2312" w:hAnsi="微软雅黑" w:cs="宋体" w:hint="eastAsia"/>
            <w:kern w:val="0"/>
            <w:sz w:val="30"/>
            <w:szCs w:val="30"/>
          </w:rPr>
          <w:t>国家级一流本科专业建设点信息采集表</w:t>
        </w:r>
      </w:hyperlink>
    </w:p>
    <w:p w14:paraId="549B566D" w14:textId="77777777" w:rsidR="006C1A2B" w:rsidRPr="009E533C" w:rsidRDefault="006C1A2B" w:rsidP="006C1A2B">
      <w:pPr>
        <w:widowControl/>
        <w:shd w:val="clear" w:color="auto" w:fill="FFFFFF"/>
        <w:ind w:firstLineChars="350" w:firstLine="1050"/>
        <w:jc w:val="left"/>
        <w:rPr>
          <w:rFonts w:ascii="仿宋_GB2312" w:eastAsia="仿宋_GB2312" w:hAnsi="微软雅黑" w:cs="宋体"/>
          <w:kern w:val="0"/>
          <w:sz w:val="30"/>
          <w:szCs w:val="30"/>
        </w:rPr>
      </w:pPr>
    </w:p>
    <w:p w14:paraId="664F7261" w14:textId="77777777" w:rsidR="006C1A2B" w:rsidRPr="009E533C" w:rsidRDefault="006C1A2B" w:rsidP="006C1A2B">
      <w:pPr>
        <w:widowControl/>
        <w:shd w:val="clear" w:color="auto" w:fill="FFFFFF"/>
        <w:ind w:right="150"/>
        <w:jc w:val="right"/>
        <w:rPr>
          <w:rFonts w:ascii="仿宋_GB2312" w:eastAsia="仿宋_GB2312" w:hAnsi="微软雅黑" w:cs="宋体"/>
          <w:kern w:val="0"/>
          <w:sz w:val="30"/>
          <w:szCs w:val="30"/>
        </w:rPr>
      </w:pPr>
      <w:r w:rsidRPr="009E533C">
        <w:rPr>
          <w:rFonts w:ascii="仿宋_GB2312" w:eastAsia="仿宋_GB2312" w:hAnsi="微软雅黑" w:cs="宋体" w:hint="eastAsia"/>
          <w:kern w:val="0"/>
          <w:sz w:val="30"/>
          <w:szCs w:val="30"/>
        </w:rPr>
        <w:t>教育部办公厅</w:t>
      </w:r>
    </w:p>
    <w:p w14:paraId="10E3EAD4" w14:textId="77777777" w:rsidR="006C1A2B" w:rsidRDefault="006C1A2B" w:rsidP="006C1A2B">
      <w:pPr>
        <w:widowControl/>
        <w:shd w:val="clear" w:color="auto" w:fill="FFFFFF"/>
        <w:jc w:val="right"/>
        <w:rPr>
          <w:rFonts w:ascii="仿宋_GB2312" w:eastAsia="仿宋_GB2312"/>
          <w:sz w:val="28"/>
          <w:szCs w:val="28"/>
        </w:rPr>
      </w:pPr>
      <w:r w:rsidRPr="009E533C">
        <w:rPr>
          <w:rFonts w:ascii="仿宋_GB2312" w:eastAsia="仿宋_GB2312" w:hAnsi="微软雅黑" w:cs="宋体" w:hint="eastAsia"/>
          <w:kern w:val="0"/>
          <w:sz w:val="30"/>
          <w:szCs w:val="30"/>
        </w:rPr>
        <w:t>2019年4月2日</w:t>
      </w:r>
    </w:p>
    <w:p w14:paraId="1868D0E4" w14:textId="77777777" w:rsidR="00DC64FF" w:rsidRDefault="00DC64FF">
      <w:bookmarkStart w:id="0" w:name="_GoBack"/>
      <w:bookmarkEnd w:id="0"/>
    </w:p>
    <w:sectPr w:rsidR="00DC6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0E33" w14:textId="77777777" w:rsidR="00094343" w:rsidRDefault="00094343" w:rsidP="006C1A2B">
      <w:r>
        <w:separator/>
      </w:r>
    </w:p>
  </w:endnote>
  <w:endnote w:type="continuationSeparator" w:id="0">
    <w:p w14:paraId="68BCB40A" w14:textId="77777777" w:rsidR="00094343" w:rsidRDefault="00094343" w:rsidP="006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5685" w14:textId="77777777" w:rsidR="00094343" w:rsidRDefault="00094343" w:rsidP="006C1A2B">
      <w:r>
        <w:separator/>
      </w:r>
    </w:p>
  </w:footnote>
  <w:footnote w:type="continuationSeparator" w:id="0">
    <w:p w14:paraId="5DD5702E" w14:textId="77777777" w:rsidR="00094343" w:rsidRDefault="00094343" w:rsidP="006C1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5B"/>
    <w:rsid w:val="000025C6"/>
    <w:rsid w:val="00004197"/>
    <w:rsid w:val="00015169"/>
    <w:rsid w:val="00057C95"/>
    <w:rsid w:val="000649C9"/>
    <w:rsid w:val="00082D26"/>
    <w:rsid w:val="00094343"/>
    <w:rsid w:val="000B1104"/>
    <w:rsid w:val="000B31D0"/>
    <w:rsid w:val="000B789C"/>
    <w:rsid w:val="000E706C"/>
    <w:rsid w:val="000E7276"/>
    <w:rsid w:val="000F571C"/>
    <w:rsid w:val="000F5873"/>
    <w:rsid w:val="00146899"/>
    <w:rsid w:val="00164907"/>
    <w:rsid w:val="00172C35"/>
    <w:rsid w:val="00192334"/>
    <w:rsid w:val="00192FB0"/>
    <w:rsid w:val="0019445C"/>
    <w:rsid w:val="001A0E6F"/>
    <w:rsid w:val="001C1DDF"/>
    <w:rsid w:val="001D4729"/>
    <w:rsid w:val="001E054F"/>
    <w:rsid w:val="002026E6"/>
    <w:rsid w:val="00217227"/>
    <w:rsid w:val="00222D5B"/>
    <w:rsid w:val="00222D74"/>
    <w:rsid w:val="002308AF"/>
    <w:rsid w:val="00232BF2"/>
    <w:rsid w:val="00266235"/>
    <w:rsid w:val="00291519"/>
    <w:rsid w:val="002B331E"/>
    <w:rsid w:val="002B43AF"/>
    <w:rsid w:val="002E2740"/>
    <w:rsid w:val="00342DC8"/>
    <w:rsid w:val="00370119"/>
    <w:rsid w:val="00374673"/>
    <w:rsid w:val="003A39C7"/>
    <w:rsid w:val="003A4B38"/>
    <w:rsid w:val="003D45EF"/>
    <w:rsid w:val="003E1331"/>
    <w:rsid w:val="003E1C02"/>
    <w:rsid w:val="003E282E"/>
    <w:rsid w:val="003E7546"/>
    <w:rsid w:val="00415ACF"/>
    <w:rsid w:val="00422EE9"/>
    <w:rsid w:val="00430461"/>
    <w:rsid w:val="004363E1"/>
    <w:rsid w:val="004427C9"/>
    <w:rsid w:val="0044618C"/>
    <w:rsid w:val="004819CF"/>
    <w:rsid w:val="00490B66"/>
    <w:rsid w:val="004D1FB3"/>
    <w:rsid w:val="004E2C16"/>
    <w:rsid w:val="005062AD"/>
    <w:rsid w:val="00513300"/>
    <w:rsid w:val="005309D4"/>
    <w:rsid w:val="00540A7B"/>
    <w:rsid w:val="0055619B"/>
    <w:rsid w:val="00565109"/>
    <w:rsid w:val="005822C3"/>
    <w:rsid w:val="00585B63"/>
    <w:rsid w:val="00595768"/>
    <w:rsid w:val="005B077E"/>
    <w:rsid w:val="005C60F0"/>
    <w:rsid w:val="005D64F8"/>
    <w:rsid w:val="005F369F"/>
    <w:rsid w:val="00601F35"/>
    <w:rsid w:val="00641937"/>
    <w:rsid w:val="00641E12"/>
    <w:rsid w:val="00643CE2"/>
    <w:rsid w:val="00672947"/>
    <w:rsid w:val="006B1859"/>
    <w:rsid w:val="006B5062"/>
    <w:rsid w:val="006B6115"/>
    <w:rsid w:val="006C1072"/>
    <w:rsid w:val="006C1A2B"/>
    <w:rsid w:val="006D4D61"/>
    <w:rsid w:val="006F29A7"/>
    <w:rsid w:val="006F440D"/>
    <w:rsid w:val="006F750D"/>
    <w:rsid w:val="007333AE"/>
    <w:rsid w:val="00744A07"/>
    <w:rsid w:val="0075731B"/>
    <w:rsid w:val="00760332"/>
    <w:rsid w:val="00764B7B"/>
    <w:rsid w:val="00781911"/>
    <w:rsid w:val="00795F65"/>
    <w:rsid w:val="007A6C27"/>
    <w:rsid w:val="007C16C1"/>
    <w:rsid w:val="007C2440"/>
    <w:rsid w:val="007D3890"/>
    <w:rsid w:val="00815B45"/>
    <w:rsid w:val="0082600D"/>
    <w:rsid w:val="00875529"/>
    <w:rsid w:val="008767FC"/>
    <w:rsid w:val="00882F23"/>
    <w:rsid w:val="00885504"/>
    <w:rsid w:val="008A2B56"/>
    <w:rsid w:val="008A2D7B"/>
    <w:rsid w:val="008C075A"/>
    <w:rsid w:val="008C2655"/>
    <w:rsid w:val="008C5E54"/>
    <w:rsid w:val="008D0838"/>
    <w:rsid w:val="008D2978"/>
    <w:rsid w:val="008D7A16"/>
    <w:rsid w:val="009267A1"/>
    <w:rsid w:val="00946190"/>
    <w:rsid w:val="009818DF"/>
    <w:rsid w:val="00996C90"/>
    <w:rsid w:val="009B3BC9"/>
    <w:rsid w:val="009B582A"/>
    <w:rsid w:val="009D1082"/>
    <w:rsid w:val="009E3B13"/>
    <w:rsid w:val="00A106A4"/>
    <w:rsid w:val="00A31484"/>
    <w:rsid w:val="00A45A12"/>
    <w:rsid w:val="00A53431"/>
    <w:rsid w:val="00A56AD7"/>
    <w:rsid w:val="00AB69A7"/>
    <w:rsid w:val="00AD35F4"/>
    <w:rsid w:val="00AD7ACB"/>
    <w:rsid w:val="00AE406E"/>
    <w:rsid w:val="00AE5E17"/>
    <w:rsid w:val="00B00542"/>
    <w:rsid w:val="00B02068"/>
    <w:rsid w:val="00B02BC5"/>
    <w:rsid w:val="00B14437"/>
    <w:rsid w:val="00B26C06"/>
    <w:rsid w:val="00B33759"/>
    <w:rsid w:val="00B42B8A"/>
    <w:rsid w:val="00B67B47"/>
    <w:rsid w:val="00B76071"/>
    <w:rsid w:val="00BB2E2F"/>
    <w:rsid w:val="00BC0E1B"/>
    <w:rsid w:val="00BD107F"/>
    <w:rsid w:val="00BD4578"/>
    <w:rsid w:val="00C0604F"/>
    <w:rsid w:val="00C22557"/>
    <w:rsid w:val="00C41C41"/>
    <w:rsid w:val="00C46EFB"/>
    <w:rsid w:val="00C540AA"/>
    <w:rsid w:val="00C8156A"/>
    <w:rsid w:val="00C86E15"/>
    <w:rsid w:val="00C906E9"/>
    <w:rsid w:val="00C95534"/>
    <w:rsid w:val="00CA22DD"/>
    <w:rsid w:val="00CD254F"/>
    <w:rsid w:val="00D0340E"/>
    <w:rsid w:val="00D15356"/>
    <w:rsid w:val="00D26C3A"/>
    <w:rsid w:val="00D52814"/>
    <w:rsid w:val="00D73E53"/>
    <w:rsid w:val="00D830A8"/>
    <w:rsid w:val="00D90D3E"/>
    <w:rsid w:val="00DA7C20"/>
    <w:rsid w:val="00DC64FF"/>
    <w:rsid w:val="00DE3908"/>
    <w:rsid w:val="00DE5BA4"/>
    <w:rsid w:val="00E03F3F"/>
    <w:rsid w:val="00E12A99"/>
    <w:rsid w:val="00E168FF"/>
    <w:rsid w:val="00E25440"/>
    <w:rsid w:val="00E46B6D"/>
    <w:rsid w:val="00E60DE8"/>
    <w:rsid w:val="00E71D0E"/>
    <w:rsid w:val="00E8536C"/>
    <w:rsid w:val="00E91202"/>
    <w:rsid w:val="00EB148F"/>
    <w:rsid w:val="00EB4669"/>
    <w:rsid w:val="00EE5FD9"/>
    <w:rsid w:val="00EF5740"/>
    <w:rsid w:val="00F03D58"/>
    <w:rsid w:val="00F154E4"/>
    <w:rsid w:val="00F53119"/>
    <w:rsid w:val="00F5501B"/>
    <w:rsid w:val="00F7427E"/>
    <w:rsid w:val="00F7450D"/>
    <w:rsid w:val="00F8281A"/>
    <w:rsid w:val="00FD1B14"/>
    <w:rsid w:val="00F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61F5D-A6C2-4AE4-AB6B-DDE460F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A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1A2B"/>
    <w:rPr>
      <w:sz w:val="18"/>
      <w:szCs w:val="18"/>
    </w:rPr>
  </w:style>
  <w:style w:type="paragraph" w:styleId="a5">
    <w:name w:val="footer"/>
    <w:basedOn w:val="a"/>
    <w:link w:val="a6"/>
    <w:uiPriority w:val="99"/>
    <w:unhideWhenUsed/>
    <w:rsid w:val="006C1A2B"/>
    <w:pPr>
      <w:tabs>
        <w:tab w:val="center" w:pos="4153"/>
        <w:tab w:val="right" w:pos="8306"/>
      </w:tabs>
      <w:snapToGrid w:val="0"/>
      <w:jc w:val="left"/>
    </w:pPr>
    <w:rPr>
      <w:sz w:val="18"/>
      <w:szCs w:val="18"/>
    </w:rPr>
  </w:style>
  <w:style w:type="character" w:customStyle="1" w:styleId="a6">
    <w:name w:val="页脚 字符"/>
    <w:basedOn w:val="a0"/>
    <w:link w:val="a5"/>
    <w:uiPriority w:val="99"/>
    <w:rsid w:val="006C1A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moe.gov.cn/srcsite/A08/s7056/201904/W0201904095669739653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oe.gov.cn/srcsite/A08/s7056/201904/W020190409566973958144.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dc:creator>
  <cp:keywords/>
  <dc:description/>
  <cp:lastModifiedBy>李伟</cp:lastModifiedBy>
  <cp:revision>2</cp:revision>
  <dcterms:created xsi:type="dcterms:W3CDTF">2019-04-19T09:50:00Z</dcterms:created>
  <dcterms:modified xsi:type="dcterms:W3CDTF">2019-04-19T09:50:00Z</dcterms:modified>
</cp:coreProperties>
</file>